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43CA8" w14:textId="1087A923" w:rsidR="00607294" w:rsidRDefault="00607294">
      <w:pPr>
        <w:rPr>
          <w:u w:val="single"/>
        </w:rPr>
      </w:pPr>
    </w:p>
    <w:p w14:paraId="3F706EB8" w14:textId="3877581F" w:rsidR="00607294" w:rsidRPr="00FD1BF7" w:rsidRDefault="00607294">
      <w:pPr>
        <w:rPr>
          <w:b/>
          <w:bCs/>
          <w:u w:val="single"/>
        </w:rPr>
      </w:pPr>
      <w:r w:rsidRPr="00FD1BF7">
        <w:rPr>
          <w:b/>
          <w:bCs/>
          <w:u w:val="single"/>
        </w:rPr>
        <w:t xml:space="preserve">Updated </w:t>
      </w:r>
      <w:r w:rsidR="004844C8" w:rsidRPr="00FD1BF7">
        <w:rPr>
          <w:b/>
          <w:bCs/>
          <w:u w:val="single"/>
          <w:vertAlign w:val="superscript"/>
        </w:rPr>
        <w:t>18</w:t>
      </w:r>
      <w:r w:rsidR="004844C8" w:rsidRPr="00FD1BF7">
        <w:rPr>
          <w:b/>
          <w:bCs/>
          <w:u w:val="single"/>
        </w:rPr>
        <w:t>F-</w:t>
      </w:r>
      <w:r w:rsidRPr="00FD1BF7">
        <w:rPr>
          <w:b/>
          <w:bCs/>
          <w:u w:val="single"/>
        </w:rPr>
        <w:t>Fluciclovine Training Module</w:t>
      </w:r>
      <w:r w:rsidR="00FD1BF7" w:rsidRPr="00FD1BF7">
        <w:rPr>
          <w:b/>
          <w:bCs/>
          <w:u w:val="single"/>
        </w:rPr>
        <w:t xml:space="preserve"> Updates</w:t>
      </w:r>
    </w:p>
    <w:p w14:paraId="3EBBF87E" w14:textId="56C900D6" w:rsidR="00607294" w:rsidRDefault="00607294">
      <w:r>
        <w:t xml:space="preserve">Since its approval in mid-2016, </w:t>
      </w:r>
      <w:r w:rsidR="004844C8">
        <w:t>tens</w:t>
      </w:r>
      <w:r>
        <w:t xml:space="preserve"> of thousands of men with biochemical recurrent prostate cancer have been imaged with </w:t>
      </w:r>
      <w:r w:rsidR="004844C8">
        <w:t>18F-</w:t>
      </w:r>
      <w:r>
        <w:t>fluciclovine (Axumin</w:t>
      </w:r>
      <w:r w:rsidR="004844C8">
        <w:rPr>
          <w:rFonts w:cstheme="minorHAnsi"/>
        </w:rPr>
        <w:t>®</w:t>
      </w:r>
      <w:r w:rsidR="004844C8">
        <w:t xml:space="preserve"> (fluciclovine F 18)</w:t>
      </w:r>
      <w:r>
        <w:t xml:space="preserve">).  As with all diagnostic agents, we continue to </w:t>
      </w:r>
      <w:r w:rsidR="004844C8">
        <w:t>enhance</w:t>
      </w:r>
      <w:r>
        <w:t xml:space="preserve"> our </w:t>
      </w:r>
      <w:r w:rsidR="004844C8">
        <w:t xml:space="preserve">image </w:t>
      </w:r>
      <w:r>
        <w:t>interpretation</w:t>
      </w:r>
      <w:r w:rsidR="004844C8">
        <w:t xml:space="preserve"> guidance for</w:t>
      </w:r>
      <w:r>
        <w:t xml:space="preserve"> this novel amino acid tracer.  These </w:t>
      </w:r>
      <w:r w:rsidR="004844C8">
        <w:t>minor</w:t>
      </w:r>
      <w:r>
        <w:t xml:space="preserve"> modifications are </w:t>
      </w:r>
      <w:r w:rsidR="004844C8">
        <w:t>described</w:t>
      </w:r>
      <w:r>
        <w:t xml:space="preserve"> in the training module and summarized below.  </w:t>
      </w:r>
    </w:p>
    <w:p w14:paraId="34116BC6" w14:textId="7C14837F" w:rsidR="00345A4F" w:rsidRPr="00345A4F" w:rsidRDefault="00345A4F" w:rsidP="00345A4F">
      <w:r w:rsidRPr="00345A4F">
        <w:rPr>
          <w:lang w:val="en-GB"/>
        </w:rPr>
        <w:t xml:space="preserve">Patients should be encouraged to void approximately </w:t>
      </w:r>
      <w:r w:rsidRPr="00345A4F">
        <w:rPr>
          <w:b/>
          <w:bCs/>
          <w:lang w:val="en-GB"/>
        </w:rPr>
        <w:t xml:space="preserve">30-60 minutes </w:t>
      </w:r>
      <w:r w:rsidRPr="00345A4F">
        <w:rPr>
          <w:lang w:val="en-GB"/>
        </w:rPr>
        <w:t xml:space="preserve">before scanning to reduce </w:t>
      </w:r>
      <w:r w:rsidR="004844C8">
        <w:rPr>
          <w:lang w:val="en-GB"/>
        </w:rPr>
        <w:t xml:space="preserve">the </w:t>
      </w:r>
      <w:r w:rsidRPr="00345A4F">
        <w:rPr>
          <w:lang w:val="en-GB"/>
        </w:rPr>
        <w:t>potential impact of early urinary excretion (</w:t>
      </w:r>
      <w:r w:rsidR="004844C8">
        <w:rPr>
          <w:lang w:val="en-GB"/>
        </w:rPr>
        <w:t xml:space="preserve">seen </w:t>
      </w:r>
      <w:r w:rsidRPr="00345A4F">
        <w:rPr>
          <w:lang w:val="en-GB"/>
        </w:rPr>
        <w:t xml:space="preserve">in minority of patients) into </w:t>
      </w:r>
      <w:r w:rsidR="004844C8">
        <w:rPr>
          <w:lang w:val="en-GB"/>
        </w:rPr>
        <w:t xml:space="preserve">the </w:t>
      </w:r>
      <w:r w:rsidRPr="00345A4F">
        <w:rPr>
          <w:lang w:val="en-GB"/>
        </w:rPr>
        <w:t xml:space="preserve">bladder. </w:t>
      </w:r>
      <w:r>
        <w:rPr>
          <w:lang w:val="en-GB"/>
        </w:rPr>
        <w:t xml:space="preserve"> (slide 15)</w:t>
      </w:r>
    </w:p>
    <w:p w14:paraId="1B605D47" w14:textId="7831EB5A" w:rsidR="00345A4F" w:rsidRPr="00345A4F" w:rsidRDefault="00345A4F" w:rsidP="00345A4F">
      <w:pPr>
        <w:numPr>
          <w:ilvl w:val="0"/>
          <w:numId w:val="1"/>
        </w:numPr>
      </w:pPr>
      <w:r w:rsidRPr="00345A4F">
        <w:rPr>
          <w:lang w:val="en-GB"/>
        </w:rPr>
        <w:t xml:space="preserve">If patient voids within 30 minutes prior to start of scan, there is </w:t>
      </w:r>
      <w:r w:rsidR="004844C8">
        <w:rPr>
          <w:lang w:val="en-GB"/>
        </w:rPr>
        <w:t xml:space="preserve">a </w:t>
      </w:r>
      <w:r w:rsidRPr="00345A4F">
        <w:rPr>
          <w:lang w:val="en-GB"/>
        </w:rPr>
        <w:t xml:space="preserve">possibility of </w:t>
      </w:r>
      <w:r w:rsidR="004844C8">
        <w:rPr>
          <w:lang w:val="en-GB"/>
        </w:rPr>
        <w:t xml:space="preserve">the </w:t>
      </w:r>
      <w:r w:rsidRPr="00345A4F">
        <w:rPr>
          <w:lang w:val="en-GB"/>
        </w:rPr>
        <w:t xml:space="preserve">early appearance of </w:t>
      </w:r>
      <w:r w:rsidR="004844C8">
        <w:rPr>
          <w:lang w:val="en-GB"/>
        </w:rPr>
        <w:t>radio</w:t>
      </w:r>
      <w:r w:rsidRPr="00345A4F">
        <w:rPr>
          <w:lang w:val="en-GB"/>
        </w:rPr>
        <w:t xml:space="preserve">activity </w:t>
      </w:r>
      <w:r w:rsidR="004844C8">
        <w:rPr>
          <w:lang w:val="en-GB"/>
        </w:rPr>
        <w:t xml:space="preserve">in the bladder </w:t>
      </w:r>
      <w:r w:rsidRPr="00345A4F">
        <w:rPr>
          <w:lang w:val="en-GB"/>
        </w:rPr>
        <w:t>and this should be taken into account during image interpretation.  This activity is usually generalised, but occasionally may be focal in nature (</w:t>
      </w:r>
      <w:r w:rsidR="004844C8">
        <w:rPr>
          <w:lang w:val="en-GB"/>
        </w:rPr>
        <w:t xml:space="preserve">potentially </w:t>
      </w:r>
      <w:r w:rsidRPr="00345A4F">
        <w:rPr>
          <w:lang w:val="en-GB"/>
        </w:rPr>
        <w:t xml:space="preserve">simulating </w:t>
      </w:r>
      <w:r w:rsidR="004844C8">
        <w:rPr>
          <w:lang w:val="en-GB"/>
        </w:rPr>
        <w:t xml:space="preserve">the </w:t>
      </w:r>
      <w:r w:rsidRPr="00345A4F">
        <w:rPr>
          <w:lang w:val="en-GB"/>
        </w:rPr>
        <w:t xml:space="preserve">appearance of a nodule adjacent to the bladder wall), at least on the early images. </w:t>
      </w:r>
    </w:p>
    <w:p w14:paraId="07CA9E76" w14:textId="41B8ABA1" w:rsidR="00345A4F" w:rsidRDefault="00345A4F">
      <w:r>
        <w:t>Interpretation of uptake in Seminal Vesicles (slide 37)</w:t>
      </w:r>
    </w:p>
    <w:p w14:paraId="6C87AD3A" w14:textId="10A429B5" w:rsidR="00345A4F" w:rsidRPr="00345A4F" w:rsidRDefault="00345A4F" w:rsidP="00345A4F">
      <w:pPr>
        <w:numPr>
          <w:ilvl w:val="0"/>
          <w:numId w:val="2"/>
        </w:numPr>
      </w:pPr>
      <w:r w:rsidRPr="00345A4F">
        <w:rPr>
          <w:lang w:val="en-GB"/>
        </w:rPr>
        <w:t>In seminal vesicles, with or without the prostate present, symmetric bilateral uptake</w:t>
      </w:r>
      <w:r w:rsidR="004844C8">
        <w:rPr>
          <w:lang w:val="en-GB"/>
        </w:rPr>
        <w:t>,</w:t>
      </w:r>
      <w:r w:rsidRPr="00345A4F">
        <w:rPr>
          <w:lang w:val="en-GB"/>
        </w:rPr>
        <w:t xml:space="preserve"> similar to blood pool</w:t>
      </w:r>
      <w:r w:rsidR="004844C8">
        <w:rPr>
          <w:lang w:val="en-GB"/>
        </w:rPr>
        <w:t>,</w:t>
      </w:r>
      <w:r w:rsidRPr="00345A4F">
        <w:rPr>
          <w:lang w:val="en-GB"/>
        </w:rPr>
        <w:t xml:space="preserve"> is likely </w:t>
      </w:r>
      <w:r w:rsidR="004844C8">
        <w:rPr>
          <w:lang w:val="en-GB"/>
        </w:rPr>
        <w:t xml:space="preserve">to be </w:t>
      </w:r>
      <w:r w:rsidRPr="00345A4F">
        <w:rPr>
          <w:lang w:val="en-GB"/>
        </w:rPr>
        <w:t xml:space="preserve">physiologic </w:t>
      </w:r>
    </w:p>
    <w:p w14:paraId="2C0D7CDD" w14:textId="3EB1C275" w:rsidR="00345A4F" w:rsidRPr="00345A4F" w:rsidRDefault="00345A4F" w:rsidP="00345A4F">
      <w:pPr>
        <w:numPr>
          <w:ilvl w:val="0"/>
          <w:numId w:val="2"/>
        </w:numPr>
      </w:pPr>
      <w:r w:rsidRPr="00345A4F">
        <w:rPr>
          <w:lang w:val="en-GB"/>
        </w:rPr>
        <w:t>Asymmetric seminal vesicle uptake</w:t>
      </w:r>
      <w:r w:rsidR="004844C8">
        <w:rPr>
          <w:lang w:val="en-GB"/>
        </w:rPr>
        <w:t>,</w:t>
      </w:r>
      <w:r w:rsidRPr="00345A4F">
        <w:rPr>
          <w:lang w:val="en-GB"/>
        </w:rPr>
        <w:t xml:space="preserve"> between blood pool and marrow</w:t>
      </w:r>
      <w:r w:rsidR="004844C8">
        <w:rPr>
          <w:lang w:val="en-GB"/>
        </w:rPr>
        <w:t>,</w:t>
      </w:r>
      <w:r w:rsidRPr="00345A4F">
        <w:rPr>
          <w:lang w:val="en-GB"/>
        </w:rPr>
        <w:t xml:space="preserve"> may increase the suspicion for malignancy; consider pelvis MRI for further characterization </w:t>
      </w:r>
    </w:p>
    <w:p w14:paraId="649D052B" w14:textId="6B8ED080" w:rsidR="00345A4F" w:rsidRDefault="00345A4F">
      <w:r>
        <w:t>Interpretation of Lymph Nodes (slides 38-39)</w:t>
      </w:r>
    </w:p>
    <w:p w14:paraId="5848F5B5" w14:textId="229A60F6" w:rsidR="00345A4F" w:rsidRPr="00345A4F" w:rsidRDefault="00345A4F" w:rsidP="00B32420">
      <w:pPr>
        <w:pStyle w:val="ListParagraph"/>
        <w:numPr>
          <w:ilvl w:val="0"/>
          <w:numId w:val="5"/>
        </w:numPr>
      </w:pPr>
      <w:r w:rsidRPr="00B32420">
        <w:rPr>
          <w:lang w:val="en-GB"/>
        </w:rPr>
        <w:t>Lymph nodes in a typical site of recurrence of prostate cancer</w:t>
      </w:r>
      <w:r w:rsidRPr="00B32420">
        <w:rPr>
          <w:b/>
          <w:bCs/>
          <w:lang w:val="en-GB"/>
        </w:rPr>
        <w:t xml:space="preserve">, </w:t>
      </w:r>
      <w:r w:rsidRPr="00B32420">
        <w:rPr>
          <w:b/>
          <w:bCs/>
          <w:u w:val="single"/>
          <w:lang w:val="en-GB"/>
        </w:rPr>
        <w:t>equal to or greater than 1 cm</w:t>
      </w:r>
      <w:r w:rsidRPr="00B32420">
        <w:rPr>
          <w:b/>
          <w:bCs/>
          <w:lang w:val="en-GB"/>
        </w:rPr>
        <w:t xml:space="preserve"> (maximum dimension)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5A4F" w14:paraId="6C9EC1A9" w14:textId="77777777" w:rsidTr="00345A4F">
        <w:tc>
          <w:tcPr>
            <w:tcW w:w="4675" w:type="dxa"/>
          </w:tcPr>
          <w:p w14:paraId="520E15CA" w14:textId="77777777" w:rsidR="00345A4F" w:rsidRDefault="00345A4F" w:rsidP="00345A4F">
            <w:pPr>
              <w:rPr>
                <w:b/>
                <w:bCs/>
              </w:rPr>
            </w:pPr>
            <w:r w:rsidRPr="00345A4F">
              <w:rPr>
                <w:b/>
                <w:bCs/>
              </w:rPr>
              <w:t>Uptake less than or equal to blood pool</w:t>
            </w:r>
          </w:p>
          <w:p w14:paraId="7D981586" w14:textId="0166C193" w:rsidR="00345A4F" w:rsidRDefault="00345A4F" w:rsidP="00345A4F"/>
        </w:tc>
        <w:tc>
          <w:tcPr>
            <w:tcW w:w="4675" w:type="dxa"/>
          </w:tcPr>
          <w:p w14:paraId="527A55AD" w14:textId="77777777" w:rsidR="00345A4F" w:rsidRPr="00345A4F" w:rsidRDefault="00345A4F" w:rsidP="00345A4F">
            <w:r w:rsidRPr="00345A4F">
              <w:rPr>
                <w:lang w:val="en-GB"/>
              </w:rPr>
              <w:t>Likely benign</w:t>
            </w:r>
          </w:p>
          <w:p w14:paraId="4E7EAC24" w14:textId="77777777" w:rsidR="00345A4F" w:rsidRDefault="00345A4F"/>
        </w:tc>
      </w:tr>
      <w:tr w:rsidR="00345A4F" w14:paraId="33D3AC71" w14:textId="77777777" w:rsidTr="00345A4F">
        <w:tc>
          <w:tcPr>
            <w:tcW w:w="4675" w:type="dxa"/>
          </w:tcPr>
          <w:p w14:paraId="79B433D3" w14:textId="77777777" w:rsidR="00345A4F" w:rsidRDefault="00345A4F">
            <w:pPr>
              <w:rPr>
                <w:b/>
                <w:bCs/>
              </w:rPr>
            </w:pPr>
            <w:r w:rsidRPr="00345A4F">
              <w:rPr>
                <w:b/>
                <w:bCs/>
              </w:rPr>
              <w:t>Uptake between blood pool and bone marrow</w:t>
            </w:r>
          </w:p>
          <w:p w14:paraId="21784F68" w14:textId="13E600AA" w:rsidR="00345A4F" w:rsidRDefault="00345A4F"/>
        </w:tc>
        <w:tc>
          <w:tcPr>
            <w:tcW w:w="4675" w:type="dxa"/>
          </w:tcPr>
          <w:p w14:paraId="084936E0" w14:textId="77777777" w:rsidR="00345A4F" w:rsidRPr="00345A4F" w:rsidRDefault="00345A4F" w:rsidP="00345A4F">
            <w:r w:rsidRPr="00345A4F">
              <w:rPr>
                <w:lang w:val="en-GB"/>
              </w:rPr>
              <w:t>Follow-up recommended*</w:t>
            </w:r>
          </w:p>
          <w:p w14:paraId="1F8B088C" w14:textId="77777777" w:rsidR="00345A4F" w:rsidRDefault="00345A4F"/>
        </w:tc>
      </w:tr>
      <w:tr w:rsidR="00345A4F" w14:paraId="6494C718" w14:textId="77777777" w:rsidTr="00345A4F">
        <w:tc>
          <w:tcPr>
            <w:tcW w:w="4675" w:type="dxa"/>
          </w:tcPr>
          <w:p w14:paraId="3DA9C383" w14:textId="77777777" w:rsidR="00345A4F" w:rsidRDefault="00345A4F">
            <w:pPr>
              <w:rPr>
                <w:b/>
                <w:bCs/>
              </w:rPr>
            </w:pPr>
            <w:r w:rsidRPr="00345A4F">
              <w:rPr>
                <w:b/>
                <w:bCs/>
              </w:rPr>
              <w:t>Uptake equal to or greater than bone marrow</w:t>
            </w:r>
          </w:p>
          <w:p w14:paraId="5A8B2CC3" w14:textId="11351D17" w:rsidR="00345A4F" w:rsidRDefault="00345A4F"/>
        </w:tc>
        <w:tc>
          <w:tcPr>
            <w:tcW w:w="4675" w:type="dxa"/>
          </w:tcPr>
          <w:p w14:paraId="30AC832C" w14:textId="77777777" w:rsidR="00345A4F" w:rsidRPr="00345A4F" w:rsidRDefault="00345A4F" w:rsidP="00345A4F">
            <w:r w:rsidRPr="00345A4F">
              <w:rPr>
                <w:lang w:val="en-GB"/>
              </w:rPr>
              <w:t>Likely malignant</w:t>
            </w:r>
          </w:p>
          <w:p w14:paraId="28411A25" w14:textId="77777777" w:rsidR="00345A4F" w:rsidRDefault="00345A4F"/>
        </w:tc>
      </w:tr>
    </w:tbl>
    <w:p w14:paraId="60E1BD5A" w14:textId="71D74BD6" w:rsidR="00345A4F" w:rsidRPr="00E138C2" w:rsidRDefault="00345A4F">
      <w:pPr>
        <w:rPr>
          <w:i/>
          <w:iCs/>
          <w:lang w:val="en-GB"/>
        </w:rPr>
      </w:pPr>
      <w:r w:rsidRPr="00E138C2">
        <w:rPr>
          <w:i/>
          <w:iCs/>
          <w:lang w:val="en-GB"/>
        </w:rPr>
        <w:t>* Uptake not meeting threshold for malignancy (equivocal) may require follow-up and clinical correlation.</w:t>
      </w:r>
    </w:p>
    <w:p w14:paraId="32C71F4F" w14:textId="77777777" w:rsidR="00345A4F" w:rsidRPr="00345A4F" w:rsidRDefault="00345A4F" w:rsidP="00345A4F">
      <w:pPr>
        <w:numPr>
          <w:ilvl w:val="0"/>
          <w:numId w:val="4"/>
        </w:numPr>
      </w:pPr>
      <w:r w:rsidRPr="00345A4F">
        <w:rPr>
          <w:lang w:val="en-GB"/>
        </w:rPr>
        <w:t>Uptake in lymph nodes ≥ 1 cm in a typical site of recurrence of prostate cancer should have a higher threshold for positivity relative to lymph nodes &lt; 1 cm</w:t>
      </w:r>
    </w:p>
    <w:p w14:paraId="1C08DAE4" w14:textId="4D202CC6" w:rsidR="00345A4F" w:rsidRPr="00FD1BF7" w:rsidRDefault="00345A4F" w:rsidP="00345A4F">
      <w:pPr>
        <w:numPr>
          <w:ilvl w:val="1"/>
          <w:numId w:val="4"/>
        </w:numPr>
      </w:pPr>
      <w:r w:rsidRPr="00345A4F">
        <w:rPr>
          <w:lang w:val="en-GB"/>
        </w:rPr>
        <w:t>If a node ≥ 1 cm does not meet this threshold of equal to or greater than bone marrow (including those approaching, but not reaching, bone marrow) it should be reported as such but requires follow-up and clinical correlation</w:t>
      </w:r>
    </w:p>
    <w:p w14:paraId="66627A46" w14:textId="6AF9C12B" w:rsidR="00FD1BF7" w:rsidRDefault="00FD1BF7">
      <w:pPr>
        <w:rPr>
          <w:lang w:val="en-GB"/>
        </w:rPr>
      </w:pPr>
      <w:r>
        <w:rPr>
          <w:lang w:val="en-GB"/>
        </w:rPr>
        <w:br w:type="page"/>
      </w:r>
    </w:p>
    <w:p w14:paraId="0A74847D" w14:textId="77777777" w:rsidR="00FD1BF7" w:rsidRPr="00345A4F" w:rsidRDefault="00FD1BF7" w:rsidP="00FD1BF7">
      <w:pPr>
        <w:ind w:left="1440"/>
      </w:pPr>
    </w:p>
    <w:p w14:paraId="6A05A014" w14:textId="77777777" w:rsidR="00B32420" w:rsidRPr="00B32420" w:rsidRDefault="00B32420" w:rsidP="00B32420">
      <w:pPr>
        <w:pStyle w:val="ListParagraph"/>
        <w:numPr>
          <w:ilvl w:val="0"/>
          <w:numId w:val="5"/>
        </w:numPr>
      </w:pPr>
      <w:r w:rsidRPr="00B32420">
        <w:rPr>
          <w:lang w:val="en-GB"/>
        </w:rPr>
        <w:t>Lymph nodes in a typical site of recurrence of prostate cancer</w:t>
      </w:r>
      <w:r w:rsidRPr="00B32420">
        <w:rPr>
          <w:b/>
          <w:bCs/>
          <w:lang w:val="en-GB"/>
        </w:rPr>
        <w:t xml:space="preserve">, </w:t>
      </w:r>
      <w:r w:rsidRPr="00B32420">
        <w:rPr>
          <w:b/>
          <w:bCs/>
          <w:u w:val="single"/>
          <w:lang w:val="en-GB"/>
        </w:rPr>
        <w:t xml:space="preserve">less than 1 cm </w:t>
      </w:r>
      <w:r w:rsidRPr="00B32420">
        <w:rPr>
          <w:b/>
          <w:bCs/>
          <w:u w:val="single"/>
          <w:lang w:val="en-GB"/>
        </w:rPr>
        <w:br/>
      </w:r>
      <w:r w:rsidRPr="00B32420">
        <w:rPr>
          <w:b/>
          <w:bCs/>
          <w:lang w:val="en-GB"/>
        </w:rPr>
        <w:t xml:space="preserve">(maximum dimension)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2420" w14:paraId="53B5D4AF" w14:textId="77777777" w:rsidTr="00590756">
        <w:tc>
          <w:tcPr>
            <w:tcW w:w="4675" w:type="dxa"/>
          </w:tcPr>
          <w:p w14:paraId="24154926" w14:textId="5FE7AB2A" w:rsidR="00B32420" w:rsidRPr="00B32420" w:rsidRDefault="00B32420" w:rsidP="00B32420">
            <w:pPr>
              <w:rPr>
                <w:b/>
                <w:bCs/>
              </w:rPr>
            </w:pPr>
            <w:r w:rsidRPr="00B32420">
              <w:rPr>
                <w:b/>
                <w:bCs/>
              </w:rPr>
              <w:t>Uptake less than blood pool</w:t>
            </w:r>
          </w:p>
        </w:tc>
        <w:tc>
          <w:tcPr>
            <w:tcW w:w="4675" w:type="dxa"/>
          </w:tcPr>
          <w:p w14:paraId="5FA408ED" w14:textId="77777777" w:rsidR="00B32420" w:rsidRPr="00345A4F" w:rsidRDefault="00B32420" w:rsidP="00590756">
            <w:r w:rsidRPr="00345A4F">
              <w:rPr>
                <w:lang w:val="en-GB"/>
              </w:rPr>
              <w:t>Likely benign</w:t>
            </w:r>
          </w:p>
          <w:p w14:paraId="32F748EF" w14:textId="77777777" w:rsidR="00B32420" w:rsidRDefault="00B32420" w:rsidP="00590756"/>
        </w:tc>
      </w:tr>
      <w:tr w:rsidR="00B32420" w14:paraId="632C5B3B" w14:textId="77777777" w:rsidTr="00590756">
        <w:tc>
          <w:tcPr>
            <w:tcW w:w="4675" w:type="dxa"/>
          </w:tcPr>
          <w:p w14:paraId="1C13F1EF" w14:textId="77777777" w:rsidR="00B32420" w:rsidRPr="00B32420" w:rsidRDefault="00B32420" w:rsidP="00B32420">
            <w:pPr>
              <w:rPr>
                <w:b/>
                <w:bCs/>
              </w:rPr>
            </w:pPr>
            <w:r w:rsidRPr="00B32420">
              <w:rPr>
                <w:b/>
                <w:bCs/>
              </w:rPr>
              <w:t>Uptake greater than or equal to blood pool, but</w:t>
            </w:r>
            <w:r w:rsidRPr="00B32420">
              <w:rPr>
                <w:b/>
                <w:bCs/>
              </w:rPr>
              <w:br/>
              <w:t>not close to bone marrow</w:t>
            </w:r>
          </w:p>
          <w:p w14:paraId="6C61A165" w14:textId="77777777" w:rsidR="00B32420" w:rsidRDefault="00B32420" w:rsidP="00590756"/>
        </w:tc>
        <w:tc>
          <w:tcPr>
            <w:tcW w:w="4675" w:type="dxa"/>
          </w:tcPr>
          <w:p w14:paraId="78799E65" w14:textId="77777777" w:rsidR="00B32420" w:rsidRPr="00345A4F" w:rsidRDefault="00B32420" w:rsidP="00590756">
            <w:r w:rsidRPr="00345A4F">
              <w:rPr>
                <w:lang w:val="en-GB"/>
              </w:rPr>
              <w:t>Follow-up recommended*</w:t>
            </w:r>
          </w:p>
          <w:p w14:paraId="6CBE7F73" w14:textId="77777777" w:rsidR="00B32420" w:rsidRDefault="00B32420" w:rsidP="00590756"/>
        </w:tc>
      </w:tr>
      <w:tr w:rsidR="00B32420" w14:paraId="6F71FD6C" w14:textId="77777777" w:rsidTr="00590756">
        <w:tc>
          <w:tcPr>
            <w:tcW w:w="4675" w:type="dxa"/>
          </w:tcPr>
          <w:p w14:paraId="602C5836" w14:textId="77777777" w:rsidR="00B32420" w:rsidRPr="00B32420" w:rsidRDefault="00B32420" w:rsidP="00B32420">
            <w:pPr>
              <w:rPr>
                <w:b/>
                <w:bCs/>
              </w:rPr>
            </w:pPr>
            <w:r w:rsidRPr="00B32420">
              <w:rPr>
                <w:b/>
                <w:bCs/>
              </w:rPr>
              <w:t xml:space="preserve">Uptake significantly greater than blood pool, </w:t>
            </w:r>
            <w:r w:rsidRPr="00B32420">
              <w:rPr>
                <w:b/>
                <w:bCs/>
              </w:rPr>
              <w:br/>
              <w:t>close to, equal to, or greater than bone marrow</w:t>
            </w:r>
          </w:p>
          <w:p w14:paraId="3051A049" w14:textId="77777777" w:rsidR="00B32420" w:rsidRDefault="00B32420" w:rsidP="00590756"/>
        </w:tc>
        <w:tc>
          <w:tcPr>
            <w:tcW w:w="4675" w:type="dxa"/>
          </w:tcPr>
          <w:p w14:paraId="467EEE41" w14:textId="77777777" w:rsidR="00B32420" w:rsidRPr="00345A4F" w:rsidRDefault="00B32420" w:rsidP="00590756">
            <w:r w:rsidRPr="00345A4F">
              <w:rPr>
                <w:lang w:val="en-GB"/>
              </w:rPr>
              <w:t>Likely malignant</w:t>
            </w:r>
          </w:p>
          <w:p w14:paraId="0E87165F" w14:textId="77777777" w:rsidR="00B32420" w:rsidRDefault="00B32420" w:rsidP="00590756"/>
        </w:tc>
      </w:tr>
    </w:tbl>
    <w:p w14:paraId="6B85379E" w14:textId="5E6CAE22" w:rsidR="00345A4F" w:rsidRPr="00E138C2" w:rsidRDefault="00B32420" w:rsidP="00E138C2">
      <w:pPr>
        <w:rPr>
          <w:i/>
          <w:iCs/>
          <w:lang w:val="en-GB"/>
        </w:rPr>
      </w:pPr>
      <w:r w:rsidRPr="00B32420">
        <w:rPr>
          <w:lang w:val="en-GB"/>
        </w:rPr>
        <w:t xml:space="preserve">* </w:t>
      </w:r>
      <w:r w:rsidRPr="00E138C2">
        <w:rPr>
          <w:i/>
          <w:iCs/>
          <w:lang w:val="en-GB"/>
        </w:rPr>
        <w:t xml:space="preserve">Uptake not meeting threshold for malignancy (equivocal) may require follow-up and clinical </w:t>
      </w:r>
      <w:r w:rsidR="00E138C2">
        <w:rPr>
          <w:i/>
          <w:iCs/>
          <w:lang w:val="en-GB"/>
        </w:rPr>
        <w:t>c</w:t>
      </w:r>
      <w:r w:rsidRPr="00E138C2">
        <w:rPr>
          <w:i/>
          <w:iCs/>
          <w:lang w:val="en-GB"/>
        </w:rPr>
        <w:t>orrelation.</w:t>
      </w:r>
    </w:p>
    <w:p w14:paraId="5E068105" w14:textId="77777777" w:rsidR="00B32420" w:rsidRPr="00B32420" w:rsidRDefault="00B32420" w:rsidP="00B32420">
      <w:pPr>
        <w:numPr>
          <w:ilvl w:val="0"/>
          <w:numId w:val="6"/>
        </w:numPr>
      </w:pPr>
      <w:r w:rsidRPr="00B32420">
        <w:rPr>
          <w:lang w:val="en-GB"/>
        </w:rPr>
        <w:t>Uptake in a lymph node &lt; 1 cm in a typical site of recurrence of prostate cancer has a lower threshold for positivity, which is considered significantly greater than blood pool (i.e. close to, equal to, or greater than marrow)</w:t>
      </w:r>
    </w:p>
    <w:p w14:paraId="3A908A70" w14:textId="77777777" w:rsidR="00B32420" w:rsidRPr="00B32420" w:rsidRDefault="00B32420" w:rsidP="00B32420">
      <w:pPr>
        <w:numPr>
          <w:ilvl w:val="1"/>
          <w:numId w:val="6"/>
        </w:numPr>
      </w:pPr>
      <w:r w:rsidRPr="00B32420">
        <w:rPr>
          <w:lang w:val="en-GB"/>
        </w:rPr>
        <w:t>If a node &lt; 1 cm does not meet this threshold it should be reported as such but requires follow-up and clinical correlation</w:t>
      </w:r>
    </w:p>
    <w:p w14:paraId="043F2E87" w14:textId="77777777" w:rsidR="00B32420" w:rsidRPr="00607294" w:rsidRDefault="00B32420" w:rsidP="00B32420">
      <w:pPr>
        <w:ind w:left="360"/>
      </w:pPr>
    </w:p>
    <w:sectPr w:rsidR="00B32420" w:rsidRPr="00607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62032"/>
    <w:multiLevelType w:val="hybridMultilevel"/>
    <w:tmpl w:val="6D247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E161E"/>
    <w:multiLevelType w:val="hybridMultilevel"/>
    <w:tmpl w:val="66F07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342607"/>
    <w:multiLevelType w:val="hybridMultilevel"/>
    <w:tmpl w:val="1B5AA8E6"/>
    <w:lvl w:ilvl="0" w:tplc="003A3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623EC">
      <w:start w:val="2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E3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27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A0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C4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49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C0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E3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010435"/>
    <w:multiLevelType w:val="hybridMultilevel"/>
    <w:tmpl w:val="4DC86886"/>
    <w:lvl w:ilvl="0" w:tplc="7486B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2AAA6">
      <w:start w:val="2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0A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44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87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28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26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69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A1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AE4CE8"/>
    <w:multiLevelType w:val="hybridMultilevel"/>
    <w:tmpl w:val="4A0615EC"/>
    <w:lvl w:ilvl="0" w:tplc="6B60D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8E95E">
      <w:start w:val="2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AB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6C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60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C2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EC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40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A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2133744"/>
    <w:multiLevelType w:val="hybridMultilevel"/>
    <w:tmpl w:val="B216ABB4"/>
    <w:lvl w:ilvl="0" w:tplc="AEEE5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24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23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6E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0E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63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25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2D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C0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B8"/>
    <w:rsid w:val="000417B8"/>
    <w:rsid w:val="00345A4F"/>
    <w:rsid w:val="003B1D2F"/>
    <w:rsid w:val="003E65C0"/>
    <w:rsid w:val="004844C8"/>
    <w:rsid w:val="00607294"/>
    <w:rsid w:val="009D680A"/>
    <w:rsid w:val="00B12277"/>
    <w:rsid w:val="00B32420"/>
    <w:rsid w:val="00B333D1"/>
    <w:rsid w:val="00D74094"/>
    <w:rsid w:val="00E138C2"/>
    <w:rsid w:val="00FD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60C7"/>
  <w15:chartTrackingRefBased/>
  <w15:docId w15:val="{2B245628-8E66-4F76-9544-AA39BD0F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B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A4F"/>
    <w:pPr>
      <w:ind w:left="720"/>
      <w:contextualSpacing/>
    </w:pPr>
  </w:style>
  <w:style w:type="table" w:styleId="TableGrid">
    <w:name w:val="Table Grid"/>
    <w:basedOn w:val="TableNormal"/>
    <w:uiPriority w:val="39"/>
    <w:rsid w:val="0034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58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57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936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25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470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7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12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0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Bonnie</dc:creator>
  <cp:keywords/>
  <dc:description/>
  <cp:lastModifiedBy>Clarke, Bonnie</cp:lastModifiedBy>
  <cp:revision>2</cp:revision>
  <dcterms:created xsi:type="dcterms:W3CDTF">2019-11-18T17:04:00Z</dcterms:created>
  <dcterms:modified xsi:type="dcterms:W3CDTF">2019-11-18T17:04:00Z</dcterms:modified>
</cp:coreProperties>
</file>