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284A" w14:textId="6456837D" w:rsidR="001F2296" w:rsidRPr="002369BD" w:rsidRDefault="00897502" w:rsidP="009028D3">
      <w:pPr>
        <w:widowControl w:val="0"/>
        <w:tabs>
          <w:tab w:val="left" w:pos="360"/>
          <w:tab w:val="left" w:pos="630"/>
        </w:tabs>
        <w:overflowPunct w:val="0"/>
        <w:autoSpaceDE w:val="0"/>
        <w:autoSpaceDN w:val="0"/>
        <w:adjustRightInd w:val="0"/>
        <w:spacing w:after="0" w:line="240" w:lineRule="auto"/>
        <w:ind w:right="40"/>
        <w:jc w:val="both"/>
        <w:rPr>
          <w:rFonts w:ascii="Arial" w:hAnsi="Arial" w:cs="Arial"/>
          <w:b/>
          <w:bCs/>
          <w:sz w:val="28"/>
          <w:szCs w:val="28"/>
        </w:rPr>
      </w:pPr>
      <w:r w:rsidRPr="002369BD">
        <w:rPr>
          <w:rFonts w:ascii="Arial" w:hAnsi="Arial" w:cs="Arial"/>
          <w:b/>
          <w:bCs/>
          <w:sz w:val="28"/>
          <w:szCs w:val="28"/>
        </w:rPr>
        <w:t xml:space="preserve">Society of Nuclear Medicine </w:t>
      </w:r>
      <w:r w:rsidR="00BC155F" w:rsidRPr="002369BD">
        <w:rPr>
          <w:rFonts w:ascii="Arial" w:hAnsi="Arial" w:cs="Arial"/>
          <w:b/>
          <w:bCs/>
          <w:sz w:val="28"/>
          <w:szCs w:val="28"/>
        </w:rPr>
        <w:t>and</w:t>
      </w:r>
      <w:bookmarkStart w:id="0" w:name="_GoBack"/>
      <w:bookmarkEnd w:id="0"/>
      <w:r w:rsidR="00BC155F" w:rsidRPr="002369BD">
        <w:rPr>
          <w:rFonts w:ascii="Arial" w:hAnsi="Arial" w:cs="Arial"/>
          <w:b/>
          <w:bCs/>
          <w:sz w:val="28"/>
          <w:szCs w:val="28"/>
        </w:rPr>
        <w:t xml:space="preserve"> Molecular Imaging </w:t>
      </w:r>
      <w:r w:rsidRPr="002369BD">
        <w:rPr>
          <w:rFonts w:ascii="Arial" w:hAnsi="Arial" w:cs="Arial"/>
          <w:b/>
          <w:bCs/>
          <w:sz w:val="28"/>
          <w:szCs w:val="28"/>
        </w:rPr>
        <w:t xml:space="preserve">Procedure </w:t>
      </w:r>
      <w:r w:rsidR="003C1105" w:rsidRPr="002369BD">
        <w:rPr>
          <w:rFonts w:ascii="Arial" w:hAnsi="Arial" w:cs="Arial"/>
          <w:b/>
          <w:bCs/>
          <w:sz w:val="28"/>
          <w:szCs w:val="28"/>
        </w:rPr>
        <w:t xml:space="preserve">Standard </w:t>
      </w:r>
      <w:r w:rsidRPr="002369BD">
        <w:rPr>
          <w:rFonts w:ascii="Arial" w:hAnsi="Arial" w:cs="Arial"/>
          <w:b/>
          <w:bCs/>
          <w:sz w:val="28"/>
          <w:szCs w:val="28"/>
        </w:rPr>
        <w:t>for Scintigraphy for Differentiated Thyroid Cancer</w:t>
      </w:r>
    </w:p>
    <w:p w14:paraId="6E17459B" w14:textId="77777777" w:rsidR="001F2296" w:rsidRPr="00F354FE" w:rsidRDefault="001F2296" w:rsidP="009028D3">
      <w:pPr>
        <w:widowControl w:val="0"/>
        <w:tabs>
          <w:tab w:val="left" w:pos="360"/>
          <w:tab w:val="left" w:pos="630"/>
          <w:tab w:val="left" w:pos="720"/>
          <w:tab w:val="left" w:pos="1080"/>
          <w:tab w:val="left" w:pos="1440"/>
          <w:tab w:val="left" w:pos="1800"/>
          <w:tab w:val="left" w:pos="2160"/>
        </w:tabs>
        <w:overflowPunct w:val="0"/>
        <w:autoSpaceDE w:val="0"/>
        <w:autoSpaceDN w:val="0"/>
        <w:adjustRightInd w:val="0"/>
        <w:spacing w:after="0" w:line="240" w:lineRule="auto"/>
        <w:jc w:val="both"/>
        <w:rPr>
          <w:rFonts w:ascii="Arial" w:hAnsi="Arial" w:cs="Arial"/>
          <w:i/>
          <w:iCs/>
          <w:sz w:val="20"/>
          <w:szCs w:val="20"/>
        </w:rPr>
      </w:pPr>
    </w:p>
    <w:p w14:paraId="2D37A1A8" w14:textId="1A112E21" w:rsidR="002A042F" w:rsidRPr="006F49BB" w:rsidRDefault="00897502" w:rsidP="009028D3">
      <w:pPr>
        <w:widowControl w:val="0"/>
        <w:tabs>
          <w:tab w:val="left" w:pos="360"/>
          <w:tab w:val="left" w:pos="630"/>
          <w:tab w:val="left" w:pos="720"/>
          <w:tab w:val="left" w:pos="1080"/>
          <w:tab w:val="left" w:pos="1440"/>
          <w:tab w:val="left" w:pos="1800"/>
          <w:tab w:val="left" w:pos="2160"/>
        </w:tabs>
        <w:overflowPunct w:val="0"/>
        <w:autoSpaceDE w:val="0"/>
        <w:autoSpaceDN w:val="0"/>
        <w:adjustRightInd w:val="0"/>
        <w:spacing w:after="0" w:line="240" w:lineRule="auto"/>
        <w:jc w:val="both"/>
        <w:rPr>
          <w:rFonts w:ascii="Arial" w:hAnsi="Arial" w:cs="Arial"/>
          <w:i/>
          <w:iCs/>
          <w:sz w:val="20"/>
          <w:szCs w:val="20"/>
        </w:rPr>
      </w:pPr>
      <w:r w:rsidRPr="006F49BB">
        <w:rPr>
          <w:rFonts w:ascii="Arial" w:hAnsi="Arial" w:cs="Arial"/>
          <w:i/>
          <w:iCs/>
          <w:sz w:val="20"/>
          <w:szCs w:val="20"/>
        </w:rPr>
        <w:t xml:space="preserve">Authors: </w:t>
      </w:r>
      <w:r w:rsidR="003C1105" w:rsidRPr="006F49BB">
        <w:rPr>
          <w:rFonts w:ascii="Arial" w:hAnsi="Arial" w:cs="Arial"/>
          <w:i/>
          <w:iCs/>
          <w:sz w:val="20"/>
          <w:szCs w:val="20"/>
        </w:rPr>
        <w:t>Twyla B Bartel, DO, MBA, FACNM, Chair (Global Advanced Imaging, PLLC, Little Rock, AR); Samuel</w:t>
      </w:r>
      <w:r w:rsidR="006D0FC1" w:rsidRPr="006F49BB">
        <w:rPr>
          <w:rFonts w:ascii="Arial" w:hAnsi="Arial" w:cs="Arial"/>
          <w:i/>
          <w:iCs/>
          <w:sz w:val="20"/>
          <w:szCs w:val="20"/>
        </w:rPr>
        <w:t xml:space="preserve"> </w:t>
      </w:r>
      <w:proofErr w:type="spellStart"/>
      <w:r w:rsidR="006D0FC1" w:rsidRPr="006F49BB">
        <w:rPr>
          <w:rFonts w:ascii="Arial" w:hAnsi="Arial" w:cs="Arial"/>
          <w:i/>
          <w:iCs/>
          <w:sz w:val="20"/>
          <w:szCs w:val="20"/>
        </w:rPr>
        <w:t>Magerefteh</w:t>
      </w:r>
      <w:proofErr w:type="spellEnd"/>
      <w:r w:rsidR="006D0FC1" w:rsidRPr="006F49BB">
        <w:rPr>
          <w:rFonts w:ascii="Arial" w:hAnsi="Arial" w:cs="Arial"/>
          <w:i/>
          <w:iCs/>
          <w:sz w:val="20"/>
          <w:szCs w:val="20"/>
        </w:rPr>
        <w:t>, MD (</w:t>
      </w:r>
      <w:proofErr w:type="spellStart"/>
      <w:r w:rsidR="006D0FC1" w:rsidRPr="006F49BB">
        <w:rPr>
          <w:rFonts w:ascii="Arial" w:hAnsi="Arial" w:cs="Arial"/>
          <w:i/>
          <w:iCs/>
          <w:sz w:val="20"/>
          <w:szCs w:val="20"/>
        </w:rPr>
        <w:t>Radnet</w:t>
      </w:r>
      <w:proofErr w:type="spellEnd"/>
      <w:r w:rsidR="006D0FC1" w:rsidRPr="006F49BB">
        <w:rPr>
          <w:rFonts w:ascii="Arial" w:hAnsi="Arial" w:cs="Arial"/>
          <w:i/>
          <w:iCs/>
          <w:sz w:val="20"/>
          <w:szCs w:val="20"/>
        </w:rPr>
        <w:t>, Southern California)</w:t>
      </w:r>
      <w:r w:rsidR="003C1105" w:rsidRPr="006F49BB">
        <w:rPr>
          <w:rFonts w:ascii="Arial" w:hAnsi="Arial" w:cs="Arial"/>
          <w:i/>
          <w:iCs/>
          <w:sz w:val="20"/>
          <w:szCs w:val="20"/>
        </w:rPr>
        <w:t xml:space="preserve">; Anca </w:t>
      </w:r>
      <w:r w:rsidR="00E20EF4">
        <w:rPr>
          <w:rFonts w:ascii="Arial" w:hAnsi="Arial" w:cs="Arial"/>
          <w:i/>
          <w:iCs/>
          <w:sz w:val="20"/>
          <w:szCs w:val="20"/>
        </w:rPr>
        <w:t xml:space="preserve">M </w:t>
      </w:r>
      <w:r w:rsidR="003C1105" w:rsidRPr="006F49BB">
        <w:rPr>
          <w:rFonts w:ascii="Arial" w:hAnsi="Arial" w:cs="Arial"/>
          <w:i/>
          <w:iCs/>
          <w:sz w:val="20"/>
          <w:szCs w:val="20"/>
        </w:rPr>
        <w:t>Avram</w:t>
      </w:r>
      <w:r w:rsidR="006D0FC1" w:rsidRPr="006F49BB">
        <w:rPr>
          <w:rFonts w:ascii="Arial" w:hAnsi="Arial" w:cs="Arial"/>
          <w:i/>
          <w:iCs/>
          <w:sz w:val="20"/>
          <w:szCs w:val="20"/>
        </w:rPr>
        <w:t>, MD, FACNM (University of Michigan Medical Center, Ann Arbor, MI)</w:t>
      </w:r>
      <w:r w:rsidR="003C1105" w:rsidRPr="006F49BB">
        <w:rPr>
          <w:rFonts w:ascii="Arial" w:hAnsi="Arial" w:cs="Arial"/>
          <w:i/>
          <w:iCs/>
          <w:sz w:val="20"/>
          <w:szCs w:val="20"/>
        </w:rPr>
        <w:t xml:space="preserve">; </w:t>
      </w:r>
      <w:r w:rsidR="00384DEB" w:rsidRPr="006F49BB">
        <w:rPr>
          <w:rFonts w:ascii="Arial" w:hAnsi="Arial" w:cs="Arial"/>
          <w:i/>
          <w:iCs/>
          <w:sz w:val="20"/>
          <w:szCs w:val="20"/>
        </w:rPr>
        <w:t xml:space="preserve">Helena </w:t>
      </w:r>
      <w:r w:rsidR="00CF1D6A" w:rsidRPr="006F49BB">
        <w:rPr>
          <w:rFonts w:ascii="Arial" w:hAnsi="Arial" w:cs="Arial"/>
          <w:i/>
          <w:iCs/>
          <w:sz w:val="20"/>
          <w:szCs w:val="20"/>
        </w:rPr>
        <w:t xml:space="preserve">R </w:t>
      </w:r>
      <w:proofErr w:type="spellStart"/>
      <w:r w:rsidR="00384DEB" w:rsidRPr="006F49BB">
        <w:rPr>
          <w:rFonts w:ascii="Arial" w:hAnsi="Arial" w:cs="Arial"/>
          <w:i/>
          <w:iCs/>
          <w:sz w:val="20"/>
          <w:szCs w:val="20"/>
        </w:rPr>
        <w:t>Balon</w:t>
      </w:r>
      <w:proofErr w:type="spellEnd"/>
      <w:r w:rsidR="00384DEB" w:rsidRPr="006F49BB">
        <w:rPr>
          <w:rFonts w:ascii="Arial" w:hAnsi="Arial" w:cs="Arial"/>
          <w:i/>
          <w:iCs/>
          <w:sz w:val="20"/>
          <w:szCs w:val="20"/>
        </w:rPr>
        <w:t>, MD</w:t>
      </w:r>
      <w:r w:rsidR="00507FBC" w:rsidRPr="006F49BB">
        <w:rPr>
          <w:rFonts w:ascii="Arial" w:hAnsi="Arial" w:cs="Arial"/>
          <w:i/>
          <w:iCs/>
          <w:sz w:val="20"/>
          <w:szCs w:val="20"/>
        </w:rPr>
        <w:t xml:space="preserve"> (Beaumont Hospital, Royal Oak, MI); </w:t>
      </w:r>
      <w:r w:rsidR="003C1105" w:rsidRPr="006F49BB">
        <w:rPr>
          <w:rFonts w:ascii="Arial" w:hAnsi="Arial" w:cs="Arial"/>
          <w:i/>
          <w:iCs/>
          <w:sz w:val="20"/>
          <w:szCs w:val="20"/>
        </w:rPr>
        <w:t xml:space="preserve">Lorraine </w:t>
      </w:r>
      <w:r w:rsidR="006D0FC1" w:rsidRPr="006F49BB">
        <w:rPr>
          <w:rFonts w:ascii="Arial" w:hAnsi="Arial" w:cs="Arial"/>
          <w:i/>
          <w:iCs/>
          <w:sz w:val="20"/>
          <w:szCs w:val="20"/>
        </w:rPr>
        <w:t xml:space="preserve">E </w:t>
      </w:r>
      <w:r w:rsidR="003C1105" w:rsidRPr="006F49BB">
        <w:rPr>
          <w:rFonts w:ascii="Arial" w:hAnsi="Arial" w:cs="Arial"/>
          <w:i/>
          <w:iCs/>
          <w:sz w:val="20"/>
          <w:szCs w:val="20"/>
        </w:rPr>
        <w:t>De Blanche</w:t>
      </w:r>
      <w:r w:rsidR="006D0FC1" w:rsidRPr="006F49BB">
        <w:rPr>
          <w:rFonts w:ascii="Arial" w:hAnsi="Arial" w:cs="Arial"/>
          <w:i/>
          <w:iCs/>
          <w:sz w:val="20"/>
          <w:szCs w:val="20"/>
        </w:rPr>
        <w:t>, MD, FACNM (VA Dallas Department of Nuclear Medicine, Dallas, TX)</w:t>
      </w:r>
      <w:r w:rsidR="003C1105" w:rsidRPr="006F49BB">
        <w:rPr>
          <w:rFonts w:ascii="Arial" w:hAnsi="Arial" w:cs="Arial"/>
          <w:i/>
          <w:iCs/>
          <w:sz w:val="20"/>
          <w:szCs w:val="20"/>
        </w:rPr>
        <w:t xml:space="preserve">; </w:t>
      </w:r>
      <w:proofErr w:type="spellStart"/>
      <w:r w:rsidR="003C1105" w:rsidRPr="006F49BB">
        <w:rPr>
          <w:rFonts w:ascii="Arial" w:hAnsi="Arial" w:cs="Arial"/>
          <w:i/>
          <w:iCs/>
          <w:sz w:val="20"/>
          <w:szCs w:val="20"/>
        </w:rPr>
        <w:t>Sim</w:t>
      </w:r>
      <w:r w:rsidR="006D0FC1" w:rsidRPr="006F49BB">
        <w:rPr>
          <w:rFonts w:ascii="Arial" w:hAnsi="Arial" w:cs="Arial"/>
          <w:i/>
          <w:iCs/>
          <w:sz w:val="20"/>
          <w:szCs w:val="20"/>
        </w:rPr>
        <w:t>in</w:t>
      </w:r>
      <w:proofErr w:type="spellEnd"/>
      <w:r w:rsidR="003C1105" w:rsidRPr="006F49BB">
        <w:rPr>
          <w:rFonts w:ascii="Arial" w:hAnsi="Arial" w:cs="Arial"/>
          <w:i/>
          <w:iCs/>
          <w:sz w:val="20"/>
          <w:szCs w:val="20"/>
        </w:rPr>
        <w:t xml:space="preserve"> Dadparvar</w:t>
      </w:r>
      <w:r w:rsidR="006D0FC1" w:rsidRPr="006F49BB">
        <w:rPr>
          <w:rFonts w:ascii="Arial" w:hAnsi="Arial" w:cs="Arial"/>
          <w:i/>
          <w:iCs/>
          <w:sz w:val="20"/>
          <w:szCs w:val="20"/>
        </w:rPr>
        <w:t>, MD, FACR, FACNM (Temple University, Philadelphia, PA)</w:t>
      </w:r>
      <w:r w:rsidR="003C1105" w:rsidRPr="006F49BB">
        <w:rPr>
          <w:rFonts w:ascii="Arial" w:hAnsi="Arial" w:cs="Arial"/>
          <w:i/>
          <w:iCs/>
          <w:sz w:val="20"/>
          <w:szCs w:val="20"/>
        </w:rPr>
        <w:t>; Mickaila Johnston</w:t>
      </w:r>
      <w:r w:rsidR="006D0FC1" w:rsidRPr="006F49BB">
        <w:rPr>
          <w:rFonts w:ascii="Arial" w:hAnsi="Arial" w:cs="Arial"/>
          <w:i/>
          <w:iCs/>
          <w:sz w:val="20"/>
          <w:szCs w:val="20"/>
        </w:rPr>
        <w:t>, MD, CDR, MC, USN, FACNM (Naval Medical Center, San Diego, CA)</w:t>
      </w:r>
      <w:r w:rsidR="003C1105" w:rsidRPr="006F49BB">
        <w:rPr>
          <w:rFonts w:ascii="Arial" w:hAnsi="Arial" w:cs="Arial"/>
          <w:i/>
          <w:iCs/>
          <w:sz w:val="20"/>
          <w:szCs w:val="20"/>
        </w:rPr>
        <w:t xml:space="preserve">; </w:t>
      </w:r>
      <w:r w:rsidR="00346E2A" w:rsidRPr="006F49BB">
        <w:rPr>
          <w:rFonts w:ascii="Arial" w:hAnsi="Arial" w:cs="Arial"/>
          <w:i/>
          <w:iCs/>
          <w:sz w:val="20"/>
          <w:szCs w:val="20"/>
        </w:rPr>
        <w:t>Shari Moreau, CNMT (Washington Hospital, Washington, DC</w:t>
      </w:r>
      <w:r w:rsidR="002A042F" w:rsidRPr="006F49BB">
        <w:rPr>
          <w:rFonts w:ascii="Arial" w:hAnsi="Arial" w:cs="Arial"/>
          <w:i/>
          <w:iCs/>
          <w:sz w:val="20"/>
          <w:szCs w:val="20"/>
        </w:rPr>
        <w:t>).</w:t>
      </w:r>
    </w:p>
    <w:p w14:paraId="2595F3AE" w14:textId="77777777" w:rsidR="009028D3" w:rsidRPr="00F354FE" w:rsidRDefault="009028D3" w:rsidP="009028D3">
      <w:pPr>
        <w:widowControl w:val="0"/>
        <w:tabs>
          <w:tab w:val="left" w:pos="360"/>
          <w:tab w:val="left" w:pos="630"/>
          <w:tab w:val="left" w:pos="720"/>
          <w:tab w:val="left" w:pos="1080"/>
          <w:tab w:val="left" w:pos="1440"/>
          <w:tab w:val="left" w:pos="1800"/>
          <w:tab w:val="left" w:pos="2160"/>
        </w:tabs>
        <w:overflowPunct w:val="0"/>
        <w:autoSpaceDE w:val="0"/>
        <w:autoSpaceDN w:val="0"/>
        <w:adjustRightInd w:val="0"/>
        <w:spacing w:after="0" w:line="240" w:lineRule="auto"/>
        <w:jc w:val="both"/>
        <w:rPr>
          <w:rFonts w:ascii="Arial" w:hAnsi="Arial" w:cs="Arial"/>
          <w:i/>
          <w:iCs/>
          <w:sz w:val="18"/>
          <w:szCs w:val="18"/>
        </w:rPr>
        <w:sectPr w:rsidR="009028D3" w:rsidRPr="00F354FE" w:rsidSect="00F354FE">
          <w:pgSz w:w="12240" w:h="15840"/>
          <w:pgMar w:top="1440" w:right="1440" w:bottom="1440" w:left="1440" w:header="720" w:footer="720" w:gutter="0"/>
          <w:cols w:space="720"/>
          <w:noEndnote/>
          <w:docGrid w:linePitch="299"/>
        </w:sectPr>
      </w:pPr>
    </w:p>
    <w:p w14:paraId="4C396D08" w14:textId="71FD82F5" w:rsidR="002A042F" w:rsidRPr="002369BD" w:rsidRDefault="002A042F" w:rsidP="009028D3">
      <w:pPr>
        <w:widowControl w:val="0"/>
        <w:tabs>
          <w:tab w:val="left" w:pos="360"/>
          <w:tab w:val="left" w:pos="630"/>
          <w:tab w:val="left" w:pos="720"/>
          <w:tab w:val="left" w:pos="1080"/>
          <w:tab w:val="left" w:pos="1440"/>
          <w:tab w:val="left" w:pos="1800"/>
          <w:tab w:val="left" w:pos="2160"/>
        </w:tabs>
        <w:overflowPunct w:val="0"/>
        <w:autoSpaceDE w:val="0"/>
        <w:autoSpaceDN w:val="0"/>
        <w:adjustRightInd w:val="0"/>
        <w:spacing w:after="0" w:line="240" w:lineRule="auto"/>
        <w:jc w:val="both"/>
        <w:rPr>
          <w:rFonts w:ascii="Arial" w:hAnsi="Arial" w:cs="Arial"/>
          <w:i/>
          <w:iCs/>
          <w:sz w:val="24"/>
          <w:szCs w:val="24"/>
        </w:rPr>
      </w:pPr>
    </w:p>
    <w:p w14:paraId="363AC034" w14:textId="4A41752F" w:rsidR="002A042F" w:rsidRPr="002369BD" w:rsidRDefault="002A042F" w:rsidP="009028D3">
      <w:pPr>
        <w:widowControl w:val="0"/>
        <w:tabs>
          <w:tab w:val="left" w:pos="360"/>
          <w:tab w:val="left" w:pos="630"/>
          <w:tab w:val="left" w:pos="720"/>
          <w:tab w:val="left" w:pos="1080"/>
          <w:tab w:val="left" w:pos="1440"/>
          <w:tab w:val="left" w:pos="1800"/>
          <w:tab w:val="left" w:pos="2160"/>
        </w:tabs>
        <w:overflowPunct w:val="0"/>
        <w:autoSpaceDE w:val="0"/>
        <w:autoSpaceDN w:val="0"/>
        <w:adjustRightInd w:val="0"/>
        <w:spacing w:after="0" w:line="240" w:lineRule="auto"/>
        <w:jc w:val="both"/>
        <w:rPr>
          <w:rFonts w:ascii="Arial" w:hAnsi="Arial" w:cs="Arial"/>
          <w:i/>
          <w:iCs/>
          <w:sz w:val="24"/>
          <w:szCs w:val="24"/>
        </w:rPr>
        <w:sectPr w:rsidR="002A042F" w:rsidRPr="002369BD" w:rsidSect="002369BD">
          <w:type w:val="continuous"/>
          <w:pgSz w:w="12240" w:h="15840"/>
          <w:pgMar w:top="1440" w:right="1440" w:bottom="1440" w:left="1440" w:header="720" w:footer="720" w:gutter="0"/>
          <w:cols w:space="720"/>
          <w:noEndnote/>
          <w:docGrid w:linePitch="299"/>
        </w:sectPr>
      </w:pPr>
    </w:p>
    <w:p w14:paraId="5AF3B8DC" w14:textId="51224B3A" w:rsidR="00A41573" w:rsidRPr="002369BD" w:rsidRDefault="00A41573" w:rsidP="009028D3">
      <w:pPr>
        <w:tabs>
          <w:tab w:val="left" w:pos="360"/>
          <w:tab w:val="left" w:pos="630"/>
        </w:tabs>
        <w:spacing w:after="0"/>
        <w:jc w:val="both"/>
        <w:rPr>
          <w:rFonts w:ascii="Arial" w:hAnsi="Arial" w:cs="Arial"/>
          <w:sz w:val="24"/>
          <w:szCs w:val="24"/>
        </w:rPr>
        <w:sectPr w:rsidR="00A41573" w:rsidRPr="002369BD" w:rsidSect="002369BD">
          <w:type w:val="continuous"/>
          <w:pgSz w:w="12240" w:h="15840"/>
          <w:pgMar w:top="1440" w:right="1440" w:bottom="1440" w:left="1440" w:header="720" w:footer="720" w:gutter="0"/>
          <w:cols w:space="360"/>
          <w:noEndnote/>
          <w:docGrid w:linePitch="299"/>
        </w:sectPr>
      </w:pPr>
    </w:p>
    <w:p w14:paraId="14E8895B" w14:textId="77777777" w:rsidR="006F49BB" w:rsidRPr="005631A7" w:rsidRDefault="006F49BB" w:rsidP="006F49BB">
      <w:pPr>
        <w:rPr>
          <w:rFonts w:ascii="Arial" w:hAnsi="Arial" w:cs="Arial"/>
          <w:b/>
          <w:sz w:val="24"/>
          <w:szCs w:val="24"/>
        </w:rPr>
      </w:pPr>
      <w:r w:rsidRPr="005631A7">
        <w:rPr>
          <w:rFonts w:ascii="Arial" w:hAnsi="Arial" w:cs="Arial"/>
          <w:b/>
          <w:sz w:val="24"/>
          <w:szCs w:val="24"/>
        </w:rPr>
        <w:t>PREAMBLE</w:t>
      </w:r>
    </w:p>
    <w:p w14:paraId="37EA2B6C" w14:textId="65FF4CB1" w:rsidR="006F49BB" w:rsidRPr="005631A7" w:rsidRDefault="006F49BB" w:rsidP="006F49BB">
      <w:pPr>
        <w:spacing w:line="360" w:lineRule="auto"/>
        <w:rPr>
          <w:rFonts w:ascii="Arial" w:hAnsi="Arial" w:cs="Arial"/>
          <w:sz w:val="24"/>
          <w:szCs w:val="24"/>
        </w:rPr>
      </w:pPr>
      <w:r w:rsidRPr="005631A7">
        <w:rPr>
          <w:rFonts w:ascii="Arial" w:hAnsi="Arial" w:cs="Arial"/>
          <w:sz w:val="24"/>
          <w:szCs w:val="24"/>
        </w:rPr>
        <w:tab/>
        <w:t>The Society of Nuclear Medicine and Molecular Imaging (SNMMI) is an international scientific and professional organization founded in 1954 to promote the science, technology, and practical application of nuclear medicine. Its 18,000 members are physicians, technologists, and scientists specializing in the research and practice of nuclear medicine. In addition to publishing journals, newsletters, and books, the SNMMI also sponsors international meetings and workshops designed to increase the competencies of nuclear medicine practitioners and to promote new advances in the science of nuclear medicine. The European Association of Nuclear</w:t>
      </w:r>
      <w:r>
        <w:rPr>
          <w:rFonts w:ascii="Arial" w:hAnsi="Arial" w:cs="Arial"/>
          <w:sz w:val="24"/>
          <w:szCs w:val="24"/>
        </w:rPr>
        <w:t xml:space="preserve"> </w:t>
      </w:r>
      <w:r w:rsidRPr="005631A7">
        <w:rPr>
          <w:rFonts w:ascii="Arial" w:hAnsi="Arial" w:cs="Arial"/>
          <w:sz w:val="24"/>
          <w:szCs w:val="24"/>
        </w:rPr>
        <w:t xml:space="preserve">Medicine (EANM) equally is an international scientific and professional organization promoting the nuclear medicine with about 3,500 members specializing in the research and practice of nuclear medicine. The EANM was founded in </w:t>
      </w:r>
      <w:r w:rsidR="00E20EF4">
        <w:rPr>
          <w:rFonts w:ascii="Arial" w:hAnsi="Arial" w:cs="Arial"/>
          <w:sz w:val="24"/>
          <w:szCs w:val="24"/>
        </w:rPr>
        <w:t>1985</w:t>
      </w:r>
      <w:r w:rsidRPr="005631A7">
        <w:rPr>
          <w:rFonts w:ascii="Arial" w:hAnsi="Arial" w:cs="Arial"/>
          <w:sz w:val="24"/>
          <w:szCs w:val="24"/>
        </w:rPr>
        <w:t xml:space="preserve">. </w:t>
      </w:r>
    </w:p>
    <w:p w14:paraId="2D908D07" w14:textId="77777777" w:rsidR="006F49BB" w:rsidRPr="005631A7" w:rsidRDefault="006F49BB" w:rsidP="006F49BB">
      <w:pPr>
        <w:spacing w:line="360" w:lineRule="auto"/>
        <w:rPr>
          <w:rFonts w:ascii="Arial" w:hAnsi="Arial" w:cs="Arial"/>
          <w:sz w:val="24"/>
          <w:szCs w:val="24"/>
        </w:rPr>
      </w:pPr>
      <w:r w:rsidRPr="005631A7">
        <w:rPr>
          <w:rFonts w:ascii="Arial" w:hAnsi="Arial" w:cs="Arial"/>
          <w:sz w:val="24"/>
          <w:szCs w:val="24"/>
        </w:rPr>
        <w:tab/>
        <w:t xml:space="preserve">The SNMMI/EANM will periodically define new procedural recommendations for nuclear medicine practice to help advance the science of nuclear medicine and to improve the quality of service to patients. Existing practice guidelines will be reviewed for revision or renewal, as appropriate, on their fifth anniversary or sooner, if indicated. </w:t>
      </w:r>
    </w:p>
    <w:p w14:paraId="1D7F0143" w14:textId="77777777" w:rsidR="006F49BB" w:rsidRPr="005631A7" w:rsidRDefault="006F49BB" w:rsidP="006F49BB">
      <w:pPr>
        <w:spacing w:line="360" w:lineRule="auto"/>
        <w:rPr>
          <w:rFonts w:ascii="Arial" w:hAnsi="Arial" w:cs="Arial"/>
          <w:sz w:val="24"/>
          <w:szCs w:val="24"/>
        </w:rPr>
      </w:pPr>
      <w:r w:rsidRPr="005631A7">
        <w:rPr>
          <w:rFonts w:ascii="Arial" w:hAnsi="Arial" w:cs="Arial"/>
          <w:sz w:val="24"/>
          <w:szCs w:val="24"/>
        </w:rPr>
        <w:tab/>
        <w:t>Each procedural recommendation, representing a policy statement by the SNMMI/EANM, has undergone a thorough consensus process in which it has been subjected to extensive review. The SNMMI/EANM recognizes that the safe and effective use of</w:t>
      </w:r>
      <w:r>
        <w:rPr>
          <w:rFonts w:ascii="Arial" w:hAnsi="Arial" w:cs="Arial"/>
          <w:sz w:val="24"/>
          <w:szCs w:val="24"/>
        </w:rPr>
        <w:t xml:space="preserve"> </w:t>
      </w:r>
      <w:r w:rsidRPr="005631A7">
        <w:rPr>
          <w:rFonts w:ascii="Arial" w:hAnsi="Arial" w:cs="Arial"/>
          <w:sz w:val="24"/>
          <w:szCs w:val="24"/>
        </w:rPr>
        <w:t xml:space="preserve">diagnostic nuclear medicine imaging requires specific training, skills, and techniques, as described in each document. </w:t>
      </w:r>
    </w:p>
    <w:p w14:paraId="025B42C7" w14:textId="216ECFF1" w:rsidR="006F49BB" w:rsidRPr="005631A7" w:rsidRDefault="006F49BB" w:rsidP="006F49BB">
      <w:pPr>
        <w:spacing w:line="360" w:lineRule="auto"/>
        <w:rPr>
          <w:rFonts w:ascii="Arial" w:hAnsi="Arial" w:cs="Arial"/>
          <w:sz w:val="24"/>
          <w:szCs w:val="24"/>
        </w:rPr>
      </w:pPr>
      <w:r w:rsidRPr="005631A7">
        <w:rPr>
          <w:rFonts w:ascii="Arial" w:hAnsi="Arial" w:cs="Arial"/>
          <w:sz w:val="24"/>
          <w:szCs w:val="24"/>
        </w:rPr>
        <w:lastRenderedPageBreak/>
        <w:tab/>
        <w:t>These procedural recommendations are an educational tool designed to assist practitioners in providing appropriate care for patients. They are not inflexible rules or requirements of practice and are not intended, nor should they be used, to establish a</w:t>
      </w:r>
      <w:r w:rsidR="00DF52F7">
        <w:rPr>
          <w:rFonts w:ascii="Arial" w:hAnsi="Arial" w:cs="Arial"/>
          <w:sz w:val="24"/>
          <w:szCs w:val="24"/>
        </w:rPr>
        <w:t xml:space="preserve"> </w:t>
      </w:r>
      <w:r w:rsidRPr="005631A7">
        <w:rPr>
          <w:rFonts w:ascii="Arial" w:hAnsi="Arial" w:cs="Arial"/>
          <w:sz w:val="24"/>
          <w:szCs w:val="24"/>
        </w:rPr>
        <w:t>legal standard of care. For these reasons and those set forth below, the SNMMI and the EANM caution against the use of these procedural recommendations in litigation in which the clinical</w:t>
      </w:r>
      <w:r>
        <w:rPr>
          <w:rFonts w:ascii="Arial" w:hAnsi="Arial" w:cs="Arial"/>
          <w:sz w:val="24"/>
          <w:szCs w:val="24"/>
        </w:rPr>
        <w:t xml:space="preserve"> </w:t>
      </w:r>
      <w:r w:rsidRPr="005631A7">
        <w:rPr>
          <w:rFonts w:ascii="Arial" w:hAnsi="Arial" w:cs="Arial"/>
          <w:sz w:val="24"/>
          <w:szCs w:val="24"/>
        </w:rPr>
        <w:t xml:space="preserve">decisions of a practitioner are called into question. </w:t>
      </w:r>
    </w:p>
    <w:p w14:paraId="021D7702" w14:textId="77777777" w:rsidR="006F49BB" w:rsidRPr="005631A7" w:rsidRDefault="006F49BB" w:rsidP="006F49BB">
      <w:pPr>
        <w:spacing w:line="360" w:lineRule="auto"/>
        <w:rPr>
          <w:rFonts w:ascii="Arial" w:hAnsi="Arial" w:cs="Arial"/>
          <w:sz w:val="24"/>
          <w:szCs w:val="24"/>
        </w:rPr>
      </w:pPr>
      <w:r w:rsidRPr="005631A7">
        <w:rPr>
          <w:rFonts w:ascii="Arial" w:hAnsi="Arial" w:cs="Arial"/>
          <w:sz w:val="24"/>
          <w:szCs w:val="24"/>
        </w:rPr>
        <w:tab/>
        <w:t xml:space="preserve">The ultimate judgment regarding the propriety of any specific procedure or course of action must be made by the physician in light of all the circumstances presented. Thus, an approach that differs from the procedural recommendations, standing alone, does not necessarily imply that the approach was below the standard of care. To the contrary, a conscientious practitioner may responsibly adopt a course of action different from that set forth in the procedural recommendations when, in the reasonable judgment of the practitioner, such course of action is indicated by the condition of the patient, limitations of available resources, or advances in knowledge or technology subsequent to publication of the procedural recommendations. </w:t>
      </w:r>
    </w:p>
    <w:p w14:paraId="38853208" w14:textId="3F6B295F" w:rsidR="006F49BB" w:rsidRDefault="006F49BB" w:rsidP="006F49BB">
      <w:pPr>
        <w:tabs>
          <w:tab w:val="left" w:pos="360"/>
          <w:tab w:val="left" w:pos="630"/>
        </w:tabs>
        <w:spacing w:after="0" w:line="360" w:lineRule="auto"/>
        <w:jc w:val="both"/>
        <w:rPr>
          <w:rFonts w:ascii="Arial" w:hAnsi="Arial" w:cs="Arial"/>
          <w:b/>
          <w:sz w:val="24"/>
          <w:szCs w:val="24"/>
        </w:rPr>
      </w:pPr>
      <w:r w:rsidRPr="005631A7">
        <w:rPr>
          <w:rFonts w:ascii="Arial" w:hAnsi="Arial" w:cs="Arial"/>
          <w:sz w:val="24"/>
          <w:szCs w:val="24"/>
        </w:rPr>
        <w:tab/>
        <w:t>The variety and complexity of human conditions make it impossible to always reach the most appropriate diagnosis or to predict with certainty a particular response to treatment. Therefore, it should be recognized that adherence to these procedural recommendations will not ensure an accurate diagnosis or a successful outcome. All that should be expected is that the practitioner will follow a reasonable course of action based on current knowledge, available resources, and the needs of the patient to deliver effective and safe medical care. The sole purpose of these procedural recommendations is to assist practitioners in achieving this objective.</w:t>
      </w:r>
    </w:p>
    <w:p w14:paraId="09FFE9C3" w14:textId="77777777" w:rsidR="006F49BB" w:rsidRDefault="006F49BB" w:rsidP="009028D3">
      <w:pPr>
        <w:tabs>
          <w:tab w:val="left" w:pos="360"/>
          <w:tab w:val="left" w:pos="630"/>
        </w:tabs>
        <w:spacing w:after="0" w:line="360" w:lineRule="auto"/>
        <w:jc w:val="both"/>
        <w:rPr>
          <w:rFonts w:ascii="Arial" w:hAnsi="Arial" w:cs="Arial"/>
          <w:b/>
          <w:sz w:val="24"/>
          <w:szCs w:val="24"/>
        </w:rPr>
      </w:pPr>
    </w:p>
    <w:p w14:paraId="570B39CF" w14:textId="00A9CD3D" w:rsidR="001741B8" w:rsidRDefault="00AB26D6"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I</w:t>
      </w:r>
      <w:r w:rsidR="00D2789F" w:rsidRPr="002369BD">
        <w:rPr>
          <w:rFonts w:ascii="Arial" w:hAnsi="Arial" w:cs="Arial"/>
          <w:b/>
          <w:sz w:val="24"/>
          <w:szCs w:val="24"/>
        </w:rPr>
        <w:t xml:space="preserve">.  </w:t>
      </w:r>
      <w:r w:rsidRPr="002369BD">
        <w:rPr>
          <w:rFonts w:ascii="Arial" w:hAnsi="Arial" w:cs="Arial"/>
          <w:b/>
          <w:sz w:val="24"/>
          <w:szCs w:val="24"/>
        </w:rPr>
        <w:t>INTRODUCTION</w:t>
      </w:r>
    </w:p>
    <w:p w14:paraId="16DA9F37" w14:textId="4538DB50" w:rsidR="002A042F" w:rsidRDefault="00940A6E" w:rsidP="009028D3">
      <w:pPr>
        <w:tabs>
          <w:tab w:val="left" w:pos="360"/>
          <w:tab w:val="left" w:pos="630"/>
        </w:tabs>
        <w:spacing w:after="0" w:line="360" w:lineRule="auto"/>
        <w:jc w:val="both"/>
        <w:rPr>
          <w:rFonts w:ascii="Arial" w:hAnsi="Arial" w:cs="Arial"/>
          <w:sz w:val="24"/>
          <w:szCs w:val="24"/>
        </w:rPr>
      </w:pPr>
      <w:r w:rsidRPr="002369BD">
        <w:rPr>
          <w:rFonts w:ascii="Arial" w:hAnsi="Arial" w:cs="Arial"/>
          <w:i/>
          <w:iCs/>
          <w:sz w:val="24"/>
          <w:szCs w:val="24"/>
        </w:rPr>
        <w:tab/>
      </w:r>
      <w:r w:rsidR="004B7F3D" w:rsidRPr="005631A7">
        <w:rPr>
          <w:rFonts w:ascii="Arial" w:hAnsi="Arial" w:cs="Arial"/>
          <w:sz w:val="24"/>
          <w:szCs w:val="24"/>
        </w:rPr>
        <w:t xml:space="preserve">Surgical histopathology, diagnostic and post-therapy </w:t>
      </w:r>
      <w:r w:rsidR="004B7F3D">
        <w:rPr>
          <w:rFonts w:ascii="Arial" w:hAnsi="Arial" w:cs="Arial"/>
          <w:sz w:val="24"/>
          <w:szCs w:val="24"/>
        </w:rPr>
        <w:t>radioiodine (RAI)</w:t>
      </w:r>
      <w:r w:rsidR="004B7F3D" w:rsidRPr="005631A7">
        <w:rPr>
          <w:rFonts w:ascii="Arial" w:hAnsi="Arial" w:cs="Arial"/>
          <w:sz w:val="24"/>
          <w:szCs w:val="24"/>
        </w:rPr>
        <w:t xml:space="preserve"> scintigraphy, and post-operative thyroglobulin (</w:t>
      </w:r>
      <w:proofErr w:type="spellStart"/>
      <w:r w:rsidR="004B7F3D" w:rsidRPr="005631A7">
        <w:rPr>
          <w:rFonts w:ascii="Arial" w:hAnsi="Arial" w:cs="Arial"/>
          <w:sz w:val="24"/>
          <w:szCs w:val="24"/>
        </w:rPr>
        <w:t>Tg</w:t>
      </w:r>
      <w:proofErr w:type="spellEnd"/>
      <w:r w:rsidR="004B7F3D" w:rsidRPr="005631A7">
        <w:rPr>
          <w:rFonts w:ascii="Arial" w:hAnsi="Arial" w:cs="Arial"/>
          <w:sz w:val="24"/>
          <w:szCs w:val="24"/>
        </w:rPr>
        <w:t xml:space="preserve">) provide information </w:t>
      </w:r>
      <w:r w:rsidR="00B6177A">
        <w:rPr>
          <w:rFonts w:ascii="Arial" w:hAnsi="Arial" w:cs="Arial"/>
          <w:sz w:val="24"/>
          <w:szCs w:val="24"/>
        </w:rPr>
        <w:t>contributing</w:t>
      </w:r>
      <w:r w:rsidR="004B7F3D" w:rsidRPr="005631A7">
        <w:rPr>
          <w:rFonts w:ascii="Arial" w:hAnsi="Arial" w:cs="Arial"/>
          <w:sz w:val="24"/>
          <w:szCs w:val="24"/>
        </w:rPr>
        <w:t xml:space="preserve"> to </w:t>
      </w:r>
      <w:r w:rsidR="004B7F3D">
        <w:rPr>
          <w:rFonts w:ascii="Arial" w:hAnsi="Arial" w:cs="Arial"/>
          <w:sz w:val="24"/>
          <w:szCs w:val="24"/>
        </w:rPr>
        <w:t>differentiated thyroid cancer (DTC</w:t>
      </w:r>
      <w:r w:rsidR="004B7F3D" w:rsidRPr="00076D9C">
        <w:rPr>
          <w:rFonts w:ascii="Arial" w:hAnsi="Arial" w:cs="Arial"/>
          <w:sz w:val="24"/>
          <w:szCs w:val="24"/>
        </w:rPr>
        <w:t>)</w:t>
      </w:r>
      <w:r w:rsidR="004B7F3D" w:rsidRPr="005631A7">
        <w:rPr>
          <w:rFonts w:ascii="Arial" w:hAnsi="Arial" w:cs="Arial"/>
          <w:sz w:val="24"/>
          <w:szCs w:val="24"/>
        </w:rPr>
        <w:t xml:space="preserve"> staging, risk stratification, and clinical management.  </w:t>
      </w:r>
      <w:r w:rsidR="004B7F3D">
        <w:rPr>
          <w:rFonts w:ascii="Arial" w:hAnsi="Arial" w:cs="Arial"/>
          <w:sz w:val="24"/>
          <w:szCs w:val="24"/>
        </w:rPr>
        <w:t xml:space="preserve">The purpose of this document is to provide the procedure standard on the RAI scintigraphy aspect of </w:t>
      </w:r>
      <w:r w:rsidR="004B7F3D">
        <w:rPr>
          <w:rFonts w:ascii="Arial" w:hAnsi="Arial" w:cs="Arial"/>
          <w:sz w:val="24"/>
          <w:szCs w:val="24"/>
        </w:rPr>
        <w:lastRenderedPageBreak/>
        <w:t>DTC management.  The addition of SPECT/CT to planar RAI imaging has been shown to reduce equivocal findings and improve staging in these patients.</w:t>
      </w:r>
    </w:p>
    <w:p w14:paraId="056723C9" w14:textId="60D47F01" w:rsidR="00FC08C0" w:rsidRDefault="00FC08C0" w:rsidP="009028D3">
      <w:pPr>
        <w:tabs>
          <w:tab w:val="left" w:pos="360"/>
          <w:tab w:val="left" w:pos="630"/>
        </w:tabs>
        <w:spacing w:after="0" w:line="360" w:lineRule="auto"/>
        <w:jc w:val="both"/>
        <w:rPr>
          <w:rFonts w:ascii="Arial" w:hAnsi="Arial" w:cs="Arial"/>
          <w:sz w:val="24"/>
          <w:szCs w:val="24"/>
        </w:rPr>
      </w:pPr>
    </w:p>
    <w:p w14:paraId="6894E0B8" w14:textId="77777777" w:rsidR="00FC08C0" w:rsidRDefault="00FC08C0" w:rsidP="00FC08C0">
      <w:pPr>
        <w:tabs>
          <w:tab w:val="left" w:pos="360"/>
          <w:tab w:val="left" w:pos="630"/>
        </w:tabs>
        <w:spacing w:after="0" w:line="360" w:lineRule="auto"/>
        <w:jc w:val="both"/>
        <w:rPr>
          <w:rFonts w:ascii="Arial" w:hAnsi="Arial" w:cs="Arial"/>
          <w:b/>
          <w:sz w:val="24"/>
          <w:szCs w:val="24"/>
        </w:rPr>
      </w:pPr>
      <w:r w:rsidRPr="00CF58DA">
        <w:rPr>
          <w:rFonts w:ascii="Arial" w:hAnsi="Arial" w:cs="Arial"/>
          <w:b/>
          <w:sz w:val="24"/>
          <w:szCs w:val="24"/>
        </w:rPr>
        <w:t xml:space="preserve">II.  GOALS </w:t>
      </w:r>
    </w:p>
    <w:p w14:paraId="327DECAE" w14:textId="77777777" w:rsidR="00FC08C0" w:rsidRPr="00CF58DA" w:rsidRDefault="00FC08C0" w:rsidP="00FC08C0">
      <w:pPr>
        <w:tabs>
          <w:tab w:val="left" w:pos="360"/>
          <w:tab w:val="left" w:pos="630"/>
        </w:tabs>
        <w:spacing w:after="0" w:line="360" w:lineRule="auto"/>
        <w:jc w:val="both"/>
        <w:rPr>
          <w:rFonts w:ascii="Arial" w:hAnsi="Arial" w:cs="Arial"/>
          <w:b/>
          <w:sz w:val="24"/>
          <w:szCs w:val="24"/>
        </w:rPr>
      </w:pPr>
    </w:p>
    <w:p w14:paraId="23ED9007" w14:textId="17B2A5C9" w:rsidR="00FC08C0" w:rsidRDefault="00FC08C0" w:rsidP="00FC08C0">
      <w:pPr>
        <w:tabs>
          <w:tab w:val="left" w:pos="360"/>
          <w:tab w:val="left" w:pos="630"/>
        </w:tabs>
        <w:spacing w:after="0" w:line="360" w:lineRule="auto"/>
        <w:jc w:val="both"/>
        <w:rPr>
          <w:rFonts w:ascii="Arial" w:hAnsi="Arial" w:cs="Arial"/>
          <w:sz w:val="24"/>
          <w:szCs w:val="24"/>
        </w:rPr>
      </w:pPr>
      <w:r w:rsidRPr="00CF58DA">
        <w:rPr>
          <w:rFonts w:ascii="Arial" w:hAnsi="Arial" w:cs="Arial"/>
          <w:sz w:val="24"/>
          <w:szCs w:val="24"/>
        </w:rPr>
        <w:tab/>
        <w:t>The goal of this procedure standard is to assist nuclear medicine practitioners in recommending, performing, interpreting, and reporting the results of scintigraphy for DTC.</w:t>
      </w:r>
    </w:p>
    <w:p w14:paraId="3C05268E" w14:textId="2CA4DF2B" w:rsidR="00FC08C0" w:rsidRDefault="00FC08C0" w:rsidP="00FC08C0">
      <w:pPr>
        <w:tabs>
          <w:tab w:val="left" w:pos="360"/>
          <w:tab w:val="left" w:pos="630"/>
        </w:tabs>
        <w:spacing w:after="0" w:line="360" w:lineRule="auto"/>
        <w:jc w:val="both"/>
        <w:rPr>
          <w:rFonts w:ascii="Arial" w:hAnsi="Arial" w:cs="Arial"/>
          <w:sz w:val="24"/>
          <w:szCs w:val="24"/>
        </w:rPr>
      </w:pPr>
    </w:p>
    <w:p w14:paraId="2D1A12B1" w14:textId="77777777" w:rsidR="00FC08C0" w:rsidRPr="005631A7" w:rsidRDefault="00FC08C0" w:rsidP="00FC08C0">
      <w:pPr>
        <w:tabs>
          <w:tab w:val="left" w:pos="360"/>
          <w:tab w:val="left" w:pos="630"/>
        </w:tabs>
        <w:spacing w:after="0" w:line="360" w:lineRule="auto"/>
        <w:jc w:val="both"/>
        <w:rPr>
          <w:rFonts w:ascii="Arial" w:hAnsi="Arial" w:cs="Arial"/>
          <w:b/>
          <w:sz w:val="24"/>
          <w:szCs w:val="24"/>
        </w:rPr>
      </w:pPr>
      <w:r w:rsidRPr="005631A7">
        <w:rPr>
          <w:rFonts w:ascii="Arial" w:hAnsi="Arial" w:cs="Arial"/>
          <w:b/>
          <w:sz w:val="24"/>
          <w:szCs w:val="24"/>
        </w:rPr>
        <w:t>III.</w:t>
      </w:r>
      <w:r w:rsidRPr="005631A7">
        <w:rPr>
          <w:rFonts w:ascii="Arial" w:hAnsi="Arial" w:cs="Arial"/>
          <w:b/>
          <w:sz w:val="24"/>
          <w:szCs w:val="24"/>
        </w:rPr>
        <w:tab/>
        <w:t>DEFINITIONS</w:t>
      </w:r>
    </w:p>
    <w:p w14:paraId="5C4BD216" w14:textId="77777777" w:rsidR="00FC08C0" w:rsidRDefault="00FC08C0" w:rsidP="00FC08C0">
      <w:pPr>
        <w:tabs>
          <w:tab w:val="left" w:pos="360"/>
          <w:tab w:val="left" w:pos="630"/>
        </w:tabs>
        <w:spacing w:after="0" w:line="360" w:lineRule="auto"/>
        <w:jc w:val="both"/>
        <w:rPr>
          <w:rFonts w:ascii="Arial" w:hAnsi="Arial" w:cs="Arial"/>
          <w:sz w:val="24"/>
          <w:szCs w:val="24"/>
        </w:rPr>
      </w:pPr>
    </w:p>
    <w:p w14:paraId="63C78243" w14:textId="320ADCB1" w:rsidR="00FC08C0" w:rsidRDefault="00FC08C0" w:rsidP="00FC08C0">
      <w:pPr>
        <w:tabs>
          <w:tab w:val="left" w:pos="360"/>
          <w:tab w:val="left" w:pos="630"/>
        </w:tabs>
        <w:spacing w:after="0" w:line="360" w:lineRule="auto"/>
        <w:jc w:val="both"/>
        <w:rPr>
          <w:rFonts w:ascii="Arial" w:hAnsi="Arial" w:cs="Arial"/>
          <w:sz w:val="24"/>
          <w:szCs w:val="24"/>
        </w:rPr>
      </w:pPr>
      <w:r w:rsidRPr="005631A7">
        <w:rPr>
          <w:rFonts w:ascii="Arial" w:hAnsi="Arial" w:cs="Arial"/>
          <w:sz w:val="24"/>
          <w:szCs w:val="24"/>
        </w:rPr>
        <w:tab/>
      </w:r>
      <w:r w:rsidRPr="005631A7">
        <w:rPr>
          <w:rFonts w:ascii="Arial" w:hAnsi="Arial" w:cs="Arial"/>
          <w:i/>
          <w:sz w:val="24"/>
          <w:szCs w:val="24"/>
        </w:rPr>
        <w:t>Radioactive iodine (RAI)</w:t>
      </w:r>
      <w:r w:rsidRPr="005631A7">
        <w:rPr>
          <w:rFonts w:ascii="Arial" w:hAnsi="Arial" w:cs="Arial"/>
          <w:sz w:val="24"/>
          <w:szCs w:val="24"/>
        </w:rPr>
        <w:t xml:space="preserve"> is taken up by functioning benign or malignant thyroid tissue based upon sodium-iodide symporter </w:t>
      </w:r>
      <w:r w:rsidR="00AA496C">
        <w:rPr>
          <w:rFonts w:ascii="Arial" w:hAnsi="Arial" w:cs="Arial"/>
          <w:sz w:val="24"/>
          <w:szCs w:val="24"/>
        </w:rPr>
        <w:t xml:space="preserve">(NIS) </w:t>
      </w:r>
      <w:r w:rsidRPr="005631A7">
        <w:rPr>
          <w:rFonts w:ascii="Arial" w:hAnsi="Arial" w:cs="Arial"/>
          <w:sz w:val="24"/>
          <w:szCs w:val="24"/>
        </w:rPr>
        <w:t xml:space="preserve">expression.  </w:t>
      </w:r>
    </w:p>
    <w:p w14:paraId="77DD303C" w14:textId="3B8EC0A6" w:rsidR="00FC08C0" w:rsidRDefault="00FC08C0" w:rsidP="00FC08C0">
      <w:pPr>
        <w:tabs>
          <w:tab w:val="left" w:pos="360"/>
          <w:tab w:val="left" w:pos="630"/>
        </w:tabs>
        <w:spacing w:after="0" w:line="360" w:lineRule="auto"/>
        <w:jc w:val="both"/>
        <w:rPr>
          <w:rFonts w:ascii="Arial" w:hAnsi="Arial" w:cs="Arial"/>
          <w:sz w:val="24"/>
          <w:szCs w:val="24"/>
        </w:rPr>
      </w:pPr>
      <w:r>
        <w:rPr>
          <w:rFonts w:ascii="Arial" w:hAnsi="Arial" w:cs="Arial"/>
          <w:sz w:val="24"/>
          <w:szCs w:val="24"/>
        </w:rPr>
        <w:tab/>
      </w:r>
      <w:r w:rsidRPr="005631A7">
        <w:rPr>
          <w:rFonts w:ascii="Arial" w:hAnsi="Arial" w:cs="Arial"/>
          <w:i/>
          <w:sz w:val="24"/>
          <w:szCs w:val="24"/>
        </w:rPr>
        <w:t>RAI scintigraphy</w:t>
      </w:r>
      <w:r w:rsidRPr="005631A7">
        <w:rPr>
          <w:rFonts w:ascii="Arial" w:hAnsi="Arial" w:cs="Arial"/>
          <w:sz w:val="24"/>
          <w:szCs w:val="24"/>
        </w:rPr>
        <w:t xml:space="preserve"> with 131I NaI or 123I NaI can be performed after total thyroidectomy and before RAI ablation, after therapeutic 131I NaI administration, or as surveillance for identification and localization of regional and distant </w:t>
      </w:r>
      <w:r w:rsidR="00386F31">
        <w:rPr>
          <w:rFonts w:ascii="Arial" w:hAnsi="Arial" w:cs="Arial"/>
          <w:sz w:val="24"/>
          <w:szCs w:val="24"/>
        </w:rPr>
        <w:t>DTC</w:t>
      </w:r>
      <w:r w:rsidRPr="005631A7">
        <w:rPr>
          <w:rFonts w:ascii="Arial" w:hAnsi="Arial" w:cs="Arial"/>
          <w:sz w:val="24"/>
          <w:szCs w:val="24"/>
        </w:rPr>
        <w:t xml:space="preserve"> metastases. The typical images acquired are planar anterior and posterior whole-body along with spot views of the neck and chest </w:t>
      </w:r>
      <w:r w:rsidR="006B6E5F">
        <w:rPr>
          <w:rFonts w:ascii="Arial" w:hAnsi="Arial" w:cs="Arial"/>
          <w:sz w:val="24"/>
          <w:szCs w:val="24"/>
        </w:rPr>
        <w:t>and with</w:t>
      </w:r>
      <w:r w:rsidR="00386F31">
        <w:rPr>
          <w:rFonts w:ascii="Arial" w:hAnsi="Arial" w:cs="Arial"/>
          <w:sz w:val="24"/>
          <w:szCs w:val="24"/>
        </w:rPr>
        <w:t xml:space="preserve"> additional</w:t>
      </w:r>
      <w:r w:rsidRPr="005631A7">
        <w:rPr>
          <w:rFonts w:ascii="Arial" w:hAnsi="Arial" w:cs="Arial"/>
          <w:sz w:val="24"/>
          <w:szCs w:val="24"/>
        </w:rPr>
        <w:t xml:space="preserve"> SPECT/CT as clinically indicated.  </w:t>
      </w:r>
    </w:p>
    <w:p w14:paraId="7B905D36" w14:textId="210B5D74" w:rsidR="00FC08C0" w:rsidRDefault="00FC08C0" w:rsidP="00FC08C0">
      <w:pPr>
        <w:tabs>
          <w:tab w:val="left" w:pos="360"/>
          <w:tab w:val="left" w:pos="630"/>
        </w:tabs>
        <w:spacing w:after="0" w:line="360" w:lineRule="auto"/>
        <w:jc w:val="both"/>
        <w:rPr>
          <w:rFonts w:ascii="Arial" w:hAnsi="Arial" w:cs="Arial"/>
          <w:sz w:val="24"/>
          <w:szCs w:val="24"/>
        </w:rPr>
      </w:pPr>
      <w:r>
        <w:rPr>
          <w:rFonts w:ascii="Arial" w:hAnsi="Arial" w:cs="Arial"/>
          <w:sz w:val="24"/>
          <w:szCs w:val="24"/>
        </w:rPr>
        <w:tab/>
      </w:r>
      <w:proofErr w:type="spellStart"/>
      <w:r w:rsidRPr="005631A7">
        <w:rPr>
          <w:rFonts w:ascii="Arial" w:hAnsi="Arial" w:cs="Arial"/>
          <w:i/>
          <w:sz w:val="24"/>
          <w:szCs w:val="24"/>
        </w:rPr>
        <w:t>Radiotheranostics</w:t>
      </w:r>
      <w:proofErr w:type="spellEnd"/>
      <w:r w:rsidRPr="005631A7">
        <w:rPr>
          <w:rFonts w:ascii="Arial" w:hAnsi="Arial" w:cs="Arial"/>
          <w:sz w:val="24"/>
          <w:szCs w:val="24"/>
        </w:rPr>
        <w:t xml:space="preserve"> for thyroid cancer integrates diagnostic imaging and therapeutic radionuclides with 131I NaI being the classic</w:t>
      </w:r>
      <w:r w:rsidR="00981F5E">
        <w:rPr>
          <w:rFonts w:ascii="Arial" w:hAnsi="Arial" w:cs="Arial"/>
          <w:sz w:val="24"/>
          <w:szCs w:val="24"/>
        </w:rPr>
        <w:t xml:space="preserve"> example of a</w:t>
      </w:r>
      <w:r w:rsidRPr="005631A7">
        <w:rPr>
          <w:rFonts w:ascii="Arial" w:hAnsi="Arial" w:cs="Arial"/>
          <w:sz w:val="24"/>
          <w:szCs w:val="24"/>
        </w:rPr>
        <w:t xml:space="preserve"> </w:t>
      </w:r>
      <w:proofErr w:type="spellStart"/>
      <w:r w:rsidRPr="005631A7">
        <w:rPr>
          <w:rFonts w:ascii="Arial" w:hAnsi="Arial" w:cs="Arial"/>
          <w:sz w:val="24"/>
          <w:szCs w:val="24"/>
        </w:rPr>
        <w:t>radiotheranostic</w:t>
      </w:r>
      <w:proofErr w:type="spellEnd"/>
      <w:r w:rsidRPr="005631A7">
        <w:rPr>
          <w:rFonts w:ascii="Arial" w:hAnsi="Arial" w:cs="Arial"/>
          <w:sz w:val="24"/>
          <w:szCs w:val="24"/>
        </w:rPr>
        <w:t xml:space="preserve"> agent for this purpose.  </w:t>
      </w:r>
      <w:r w:rsidR="00981F5E">
        <w:rPr>
          <w:rFonts w:ascii="Arial" w:hAnsi="Arial" w:cs="Arial"/>
          <w:sz w:val="24"/>
          <w:szCs w:val="24"/>
        </w:rPr>
        <w:t>This document focuses on the imaging aspect of this equation.</w:t>
      </w:r>
    </w:p>
    <w:p w14:paraId="57FFECC9" w14:textId="4C0CEA4E" w:rsidR="00386F31" w:rsidRDefault="00FC08C0" w:rsidP="00FC08C0">
      <w:pPr>
        <w:tabs>
          <w:tab w:val="left" w:pos="360"/>
          <w:tab w:val="left" w:pos="630"/>
        </w:tabs>
        <w:spacing w:after="0" w:line="360" w:lineRule="auto"/>
        <w:jc w:val="both"/>
        <w:rPr>
          <w:rFonts w:ascii="Arial" w:hAnsi="Arial" w:cs="Arial"/>
          <w:sz w:val="24"/>
          <w:szCs w:val="24"/>
        </w:rPr>
      </w:pPr>
      <w:r>
        <w:rPr>
          <w:rFonts w:ascii="Arial" w:hAnsi="Arial" w:cs="Arial"/>
          <w:sz w:val="24"/>
          <w:szCs w:val="24"/>
        </w:rPr>
        <w:tab/>
      </w:r>
      <w:r>
        <w:rPr>
          <w:rFonts w:ascii="Arial" w:hAnsi="Arial" w:cs="Arial"/>
          <w:i/>
          <w:sz w:val="24"/>
          <w:szCs w:val="24"/>
        </w:rPr>
        <w:t>Thyroglobulin (</w:t>
      </w:r>
      <w:proofErr w:type="spellStart"/>
      <w:r>
        <w:rPr>
          <w:rFonts w:ascii="Arial" w:hAnsi="Arial" w:cs="Arial"/>
          <w:i/>
          <w:sz w:val="24"/>
          <w:szCs w:val="24"/>
        </w:rPr>
        <w:t>Tg</w:t>
      </w:r>
      <w:proofErr w:type="spellEnd"/>
      <w:r>
        <w:rPr>
          <w:rFonts w:ascii="Arial" w:hAnsi="Arial" w:cs="Arial"/>
          <w:i/>
          <w:sz w:val="24"/>
          <w:szCs w:val="24"/>
        </w:rPr>
        <w:t>)</w:t>
      </w:r>
      <w:r w:rsidRPr="005631A7">
        <w:rPr>
          <w:rFonts w:ascii="Arial" w:hAnsi="Arial" w:cs="Arial"/>
          <w:sz w:val="24"/>
          <w:szCs w:val="24"/>
        </w:rPr>
        <w:t xml:space="preserve"> is a dimeric protein produced by the follicular cells of the thyroid gland</w:t>
      </w:r>
      <w:r w:rsidR="008E311B">
        <w:rPr>
          <w:rFonts w:ascii="Arial" w:hAnsi="Arial" w:cs="Arial"/>
          <w:sz w:val="24"/>
          <w:szCs w:val="24"/>
        </w:rPr>
        <w:t>,</w:t>
      </w:r>
      <w:r w:rsidR="00981F5E">
        <w:rPr>
          <w:rFonts w:ascii="Arial" w:hAnsi="Arial" w:cs="Arial"/>
          <w:sz w:val="24"/>
          <w:szCs w:val="24"/>
        </w:rPr>
        <w:t xml:space="preserve"> can be elevated i</w:t>
      </w:r>
      <w:r w:rsidR="008E311B">
        <w:rPr>
          <w:rFonts w:ascii="Arial" w:hAnsi="Arial" w:cs="Arial"/>
          <w:sz w:val="24"/>
          <w:szCs w:val="24"/>
        </w:rPr>
        <w:t>n</w:t>
      </w:r>
      <w:r w:rsidR="00981F5E">
        <w:rPr>
          <w:rFonts w:ascii="Arial" w:hAnsi="Arial" w:cs="Arial"/>
          <w:sz w:val="24"/>
          <w:szCs w:val="24"/>
        </w:rPr>
        <w:t xml:space="preserve"> residual thyroid tissue</w:t>
      </w:r>
      <w:r w:rsidR="008E311B">
        <w:rPr>
          <w:rFonts w:ascii="Arial" w:hAnsi="Arial" w:cs="Arial"/>
          <w:sz w:val="24"/>
          <w:szCs w:val="24"/>
        </w:rPr>
        <w:t>,</w:t>
      </w:r>
      <w:r w:rsidR="00981F5E">
        <w:rPr>
          <w:rFonts w:ascii="Arial" w:hAnsi="Arial" w:cs="Arial"/>
          <w:sz w:val="24"/>
          <w:szCs w:val="24"/>
        </w:rPr>
        <w:t xml:space="preserve"> </w:t>
      </w:r>
      <w:r w:rsidRPr="005631A7">
        <w:rPr>
          <w:rFonts w:ascii="Arial" w:hAnsi="Arial" w:cs="Arial"/>
          <w:sz w:val="24"/>
          <w:szCs w:val="24"/>
        </w:rPr>
        <w:t xml:space="preserve">and is used as a DTC tumor marker after total thyroidectomy and post-operative thyroid remnant ablation.  </w:t>
      </w:r>
    </w:p>
    <w:p w14:paraId="6C54E4B7" w14:textId="102BC0C7" w:rsidR="00FC08C0" w:rsidRDefault="00386F31" w:rsidP="00FC08C0">
      <w:pPr>
        <w:tabs>
          <w:tab w:val="left" w:pos="360"/>
          <w:tab w:val="left" w:pos="630"/>
        </w:tabs>
        <w:spacing w:after="0" w:line="360" w:lineRule="auto"/>
        <w:jc w:val="both"/>
        <w:rPr>
          <w:rFonts w:ascii="Arial" w:hAnsi="Arial" w:cs="Arial"/>
          <w:sz w:val="24"/>
          <w:szCs w:val="24"/>
        </w:rPr>
      </w:pPr>
      <w:r>
        <w:rPr>
          <w:rFonts w:ascii="Arial" w:hAnsi="Arial" w:cs="Arial"/>
          <w:sz w:val="24"/>
          <w:szCs w:val="24"/>
        </w:rPr>
        <w:tab/>
      </w:r>
      <w:proofErr w:type="spellStart"/>
      <w:r w:rsidR="00FC08C0" w:rsidRPr="00076D9C">
        <w:rPr>
          <w:rFonts w:ascii="Arial" w:hAnsi="Arial" w:cs="Arial"/>
          <w:i/>
          <w:sz w:val="24"/>
          <w:szCs w:val="24"/>
        </w:rPr>
        <w:t>Tg</w:t>
      </w:r>
      <w:proofErr w:type="spellEnd"/>
      <w:r w:rsidR="00FC08C0" w:rsidRPr="00076D9C">
        <w:rPr>
          <w:rFonts w:ascii="Arial" w:hAnsi="Arial" w:cs="Arial"/>
          <w:i/>
          <w:sz w:val="24"/>
          <w:szCs w:val="24"/>
        </w:rPr>
        <w:t xml:space="preserve"> antibody</w:t>
      </w:r>
      <w:r w:rsidR="00FC08C0" w:rsidRPr="005631A7">
        <w:rPr>
          <w:rFonts w:ascii="Arial" w:hAnsi="Arial" w:cs="Arial"/>
          <w:sz w:val="24"/>
          <w:szCs w:val="24"/>
        </w:rPr>
        <w:t xml:space="preserve"> is a class G immunoglobulin and can also be elevated in recurrent thyroid cancer.  </w:t>
      </w:r>
    </w:p>
    <w:p w14:paraId="4C123655" w14:textId="268590E6" w:rsidR="00FC08C0" w:rsidRPr="00CF58DA" w:rsidRDefault="00FC08C0" w:rsidP="00FC08C0">
      <w:pPr>
        <w:tabs>
          <w:tab w:val="left" w:pos="360"/>
          <w:tab w:val="left" w:pos="630"/>
        </w:tabs>
        <w:spacing w:after="0" w:line="360" w:lineRule="auto"/>
        <w:jc w:val="both"/>
        <w:rPr>
          <w:rFonts w:ascii="Arial" w:hAnsi="Arial" w:cs="Arial"/>
          <w:sz w:val="24"/>
          <w:szCs w:val="24"/>
        </w:rPr>
      </w:pPr>
      <w:r>
        <w:rPr>
          <w:rFonts w:ascii="Arial" w:hAnsi="Arial" w:cs="Arial"/>
          <w:sz w:val="24"/>
          <w:szCs w:val="24"/>
        </w:rPr>
        <w:tab/>
      </w:r>
      <w:r w:rsidRPr="00076D9C">
        <w:rPr>
          <w:rFonts w:ascii="Arial" w:hAnsi="Arial" w:cs="Arial"/>
          <w:i/>
          <w:sz w:val="24"/>
          <w:szCs w:val="24"/>
        </w:rPr>
        <w:t>18F-FDG positron emission tomography (FDG-PET)</w:t>
      </w:r>
      <w:r w:rsidRPr="005631A7">
        <w:rPr>
          <w:rFonts w:ascii="Arial" w:hAnsi="Arial" w:cs="Arial"/>
          <w:sz w:val="24"/>
          <w:szCs w:val="24"/>
        </w:rPr>
        <w:t xml:space="preserve"> may be helpful for detecting recurrent thyroid cancer</w:t>
      </w:r>
      <w:r>
        <w:rPr>
          <w:rFonts w:ascii="Arial" w:hAnsi="Arial" w:cs="Arial"/>
          <w:sz w:val="24"/>
          <w:szCs w:val="24"/>
        </w:rPr>
        <w:t xml:space="preserve"> i</w:t>
      </w:r>
      <w:r w:rsidRPr="00076D9C">
        <w:rPr>
          <w:rFonts w:ascii="Arial" w:hAnsi="Arial" w:cs="Arial"/>
          <w:sz w:val="24"/>
          <w:szCs w:val="24"/>
        </w:rPr>
        <w:t xml:space="preserve">n cases of a rising serum </w:t>
      </w:r>
      <w:proofErr w:type="spellStart"/>
      <w:r w:rsidRPr="00076D9C">
        <w:rPr>
          <w:rFonts w:ascii="Arial" w:hAnsi="Arial" w:cs="Arial"/>
          <w:sz w:val="24"/>
          <w:szCs w:val="24"/>
        </w:rPr>
        <w:t>Tg</w:t>
      </w:r>
      <w:proofErr w:type="spellEnd"/>
      <w:r w:rsidRPr="00076D9C">
        <w:rPr>
          <w:rFonts w:ascii="Arial" w:hAnsi="Arial" w:cs="Arial"/>
          <w:sz w:val="24"/>
          <w:szCs w:val="24"/>
        </w:rPr>
        <w:t xml:space="preserve"> and negative </w:t>
      </w:r>
      <w:r w:rsidR="00F366B5">
        <w:rPr>
          <w:rFonts w:ascii="Arial" w:hAnsi="Arial" w:cs="Arial"/>
          <w:sz w:val="24"/>
          <w:szCs w:val="24"/>
        </w:rPr>
        <w:t xml:space="preserve">radioiodine </w:t>
      </w:r>
      <w:r w:rsidR="00AF7B38">
        <w:rPr>
          <w:rFonts w:ascii="Arial" w:hAnsi="Arial" w:cs="Arial"/>
          <w:sz w:val="24"/>
          <w:szCs w:val="24"/>
        </w:rPr>
        <w:t>imaging</w:t>
      </w:r>
      <w:r w:rsidR="00F366B5">
        <w:rPr>
          <w:rFonts w:ascii="Arial" w:hAnsi="Arial" w:cs="Arial"/>
          <w:sz w:val="24"/>
          <w:szCs w:val="24"/>
        </w:rPr>
        <w:t>.</w:t>
      </w:r>
    </w:p>
    <w:p w14:paraId="7007296D" w14:textId="7E9FF826" w:rsidR="00AB26D6" w:rsidRPr="002369BD" w:rsidRDefault="00AB26D6"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 xml:space="preserve">  </w:t>
      </w:r>
    </w:p>
    <w:p w14:paraId="3799CA87" w14:textId="3592D16D" w:rsidR="00AB26D6" w:rsidRDefault="00AB26D6"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I</w:t>
      </w:r>
      <w:r w:rsidR="00FC08C0">
        <w:rPr>
          <w:rFonts w:ascii="Arial" w:hAnsi="Arial" w:cs="Arial"/>
          <w:b/>
          <w:sz w:val="24"/>
          <w:szCs w:val="24"/>
        </w:rPr>
        <w:t>V</w:t>
      </w:r>
      <w:r w:rsidRPr="002369BD">
        <w:rPr>
          <w:rFonts w:ascii="Arial" w:hAnsi="Arial" w:cs="Arial"/>
          <w:b/>
          <w:sz w:val="24"/>
          <w:szCs w:val="24"/>
        </w:rPr>
        <w:t>. COMMON CLINICAL INDICATIONS</w:t>
      </w:r>
    </w:p>
    <w:p w14:paraId="6E0359C1" w14:textId="77777777" w:rsidR="00B67D84" w:rsidRPr="002369BD" w:rsidRDefault="00B67D84" w:rsidP="009028D3">
      <w:pPr>
        <w:tabs>
          <w:tab w:val="left" w:pos="360"/>
          <w:tab w:val="left" w:pos="630"/>
        </w:tabs>
        <w:spacing w:after="0" w:line="360" w:lineRule="auto"/>
        <w:jc w:val="both"/>
        <w:rPr>
          <w:rFonts w:ascii="Arial" w:hAnsi="Arial" w:cs="Arial"/>
          <w:b/>
          <w:sz w:val="24"/>
          <w:szCs w:val="24"/>
        </w:rPr>
      </w:pPr>
    </w:p>
    <w:p w14:paraId="4A40B4AF" w14:textId="6DCAEBDD" w:rsidR="00AB26D6" w:rsidRPr="002369BD" w:rsidRDefault="00940A6E"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lastRenderedPageBreak/>
        <w:tab/>
      </w:r>
      <w:r w:rsidR="46E91507" w:rsidRPr="002369BD">
        <w:rPr>
          <w:rFonts w:ascii="Arial" w:hAnsi="Arial" w:cs="Arial"/>
          <w:sz w:val="24"/>
          <w:szCs w:val="24"/>
        </w:rPr>
        <w:t xml:space="preserve">The common clinical indication for utilizing thyroid scintigraphy as outlined here is for the detection of the presence of and </w:t>
      </w:r>
      <w:r w:rsidR="00982A69" w:rsidRPr="002369BD">
        <w:rPr>
          <w:rFonts w:ascii="Arial" w:hAnsi="Arial" w:cs="Arial"/>
          <w:sz w:val="24"/>
          <w:szCs w:val="24"/>
        </w:rPr>
        <w:t>localization</w:t>
      </w:r>
      <w:r w:rsidR="46E91507" w:rsidRPr="002369BD">
        <w:rPr>
          <w:rFonts w:ascii="Arial" w:hAnsi="Arial" w:cs="Arial"/>
          <w:sz w:val="24"/>
          <w:szCs w:val="24"/>
        </w:rPr>
        <w:t xml:space="preserve"> of any functioning residual, recurrent, or metastatic DTC.  This includes</w:t>
      </w:r>
      <w:r w:rsidR="008E311B">
        <w:rPr>
          <w:rFonts w:ascii="Arial" w:hAnsi="Arial" w:cs="Arial"/>
          <w:sz w:val="24"/>
          <w:szCs w:val="24"/>
        </w:rPr>
        <w:t xml:space="preserve"> </w:t>
      </w:r>
      <w:r w:rsidR="46E91507" w:rsidRPr="002369BD">
        <w:rPr>
          <w:rFonts w:ascii="Arial" w:hAnsi="Arial" w:cs="Arial"/>
          <w:sz w:val="24"/>
          <w:szCs w:val="24"/>
        </w:rPr>
        <w:t xml:space="preserve">patients shortly after thyroidectomy and prior to or after 131I NaI </w:t>
      </w:r>
      <w:r w:rsidR="00E20EF4">
        <w:rPr>
          <w:rFonts w:ascii="Arial" w:hAnsi="Arial" w:cs="Arial"/>
          <w:sz w:val="24"/>
          <w:szCs w:val="24"/>
        </w:rPr>
        <w:t xml:space="preserve">treatment </w:t>
      </w:r>
      <w:r w:rsidR="007E4219">
        <w:rPr>
          <w:rFonts w:ascii="Arial" w:hAnsi="Arial" w:cs="Arial"/>
          <w:sz w:val="24"/>
          <w:szCs w:val="24"/>
        </w:rPr>
        <w:t>of iodine-avid tissue</w:t>
      </w:r>
      <w:r w:rsidR="46E91507" w:rsidRPr="002369BD">
        <w:rPr>
          <w:rFonts w:ascii="Arial" w:hAnsi="Arial" w:cs="Arial"/>
          <w:sz w:val="24"/>
          <w:szCs w:val="24"/>
        </w:rPr>
        <w:t xml:space="preserve"> as well as for any surveillance. </w:t>
      </w:r>
    </w:p>
    <w:p w14:paraId="4907B289" w14:textId="77777777" w:rsidR="00ED74FA" w:rsidRPr="002369BD" w:rsidRDefault="00ED74FA" w:rsidP="009028D3">
      <w:pPr>
        <w:tabs>
          <w:tab w:val="left" w:pos="360"/>
          <w:tab w:val="left" w:pos="630"/>
        </w:tabs>
        <w:spacing w:after="0" w:line="360" w:lineRule="auto"/>
        <w:jc w:val="both"/>
        <w:rPr>
          <w:rFonts w:ascii="Arial" w:hAnsi="Arial" w:cs="Arial"/>
          <w:sz w:val="24"/>
          <w:szCs w:val="24"/>
        </w:rPr>
      </w:pPr>
    </w:p>
    <w:p w14:paraId="7B3C78C0" w14:textId="5C790E20" w:rsidR="00ED74FA" w:rsidRDefault="00AB26D6" w:rsidP="00810C41">
      <w:pPr>
        <w:tabs>
          <w:tab w:val="left" w:pos="360"/>
          <w:tab w:val="left" w:pos="630"/>
        </w:tabs>
        <w:spacing w:after="0" w:line="360" w:lineRule="auto"/>
        <w:rPr>
          <w:rFonts w:ascii="Arial" w:hAnsi="Arial" w:cs="Arial"/>
          <w:b/>
          <w:sz w:val="24"/>
          <w:szCs w:val="24"/>
        </w:rPr>
      </w:pPr>
      <w:r w:rsidRPr="002369BD">
        <w:rPr>
          <w:rFonts w:ascii="Arial" w:hAnsi="Arial" w:cs="Arial"/>
          <w:b/>
          <w:sz w:val="24"/>
          <w:szCs w:val="24"/>
        </w:rPr>
        <w:t>V. QUALIFICATIONS AND RESPONSIBILITIES OF PERSONNEL</w:t>
      </w:r>
    </w:p>
    <w:p w14:paraId="1C2B478F" w14:textId="77777777" w:rsidR="00B67D84" w:rsidRPr="002369BD" w:rsidRDefault="00B67D84" w:rsidP="00810C41">
      <w:pPr>
        <w:tabs>
          <w:tab w:val="left" w:pos="360"/>
          <w:tab w:val="left" w:pos="630"/>
        </w:tabs>
        <w:spacing w:after="0" w:line="360" w:lineRule="auto"/>
        <w:rPr>
          <w:rFonts w:ascii="Arial" w:hAnsi="Arial" w:cs="Arial"/>
          <w:b/>
          <w:sz w:val="24"/>
          <w:szCs w:val="24"/>
        </w:rPr>
      </w:pPr>
    </w:p>
    <w:p w14:paraId="16BC8995" w14:textId="7DD129B9" w:rsidR="00AB26D6" w:rsidRPr="002369BD" w:rsidRDefault="00AB26D6" w:rsidP="00232BDE">
      <w:pPr>
        <w:pStyle w:val="ListParagraph"/>
        <w:numPr>
          <w:ilvl w:val="0"/>
          <w:numId w:val="6"/>
        </w:numPr>
        <w:tabs>
          <w:tab w:val="left" w:pos="360"/>
          <w:tab w:val="left" w:pos="630"/>
        </w:tabs>
        <w:spacing w:after="0" w:line="360" w:lineRule="auto"/>
        <w:ind w:left="0" w:firstLine="0"/>
        <w:jc w:val="both"/>
        <w:rPr>
          <w:rFonts w:ascii="Arial" w:hAnsi="Arial" w:cs="Arial"/>
          <w:b/>
          <w:sz w:val="24"/>
          <w:szCs w:val="24"/>
        </w:rPr>
      </w:pPr>
      <w:r w:rsidRPr="002369BD">
        <w:rPr>
          <w:rFonts w:ascii="Arial" w:hAnsi="Arial" w:cs="Arial"/>
          <w:b/>
          <w:sz w:val="24"/>
          <w:szCs w:val="24"/>
        </w:rPr>
        <w:t>Physician</w:t>
      </w:r>
    </w:p>
    <w:p w14:paraId="5C3A8B73" w14:textId="6D1483DF" w:rsidR="00AB26D6" w:rsidRPr="002369BD" w:rsidRDefault="00940A6E" w:rsidP="009028D3">
      <w:pPr>
        <w:pStyle w:val="ListParagraph"/>
        <w:tabs>
          <w:tab w:val="left" w:pos="360"/>
          <w:tab w:val="left" w:pos="630"/>
        </w:tabs>
        <w:spacing w:after="0" w:line="360" w:lineRule="auto"/>
        <w:ind w:left="0"/>
        <w:jc w:val="both"/>
        <w:rPr>
          <w:rFonts w:ascii="Arial" w:hAnsi="Arial" w:cs="Arial"/>
          <w:sz w:val="24"/>
          <w:szCs w:val="24"/>
        </w:rPr>
      </w:pPr>
      <w:r w:rsidRPr="002369BD">
        <w:rPr>
          <w:rFonts w:ascii="Arial" w:hAnsi="Arial" w:cs="Arial"/>
          <w:sz w:val="24"/>
          <w:szCs w:val="24"/>
        </w:rPr>
        <w:tab/>
      </w:r>
      <w:r w:rsidR="00AB26D6" w:rsidRPr="002369BD">
        <w:rPr>
          <w:rFonts w:ascii="Arial" w:hAnsi="Arial" w:cs="Arial"/>
          <w:sz w:val="24"/>
          <w:szCs w:val="24"/>
        </w:rPr>
        <w:t>Scintigraphic imaging for DTC should be performed under the supervision of a physician specialized in nuclear medicine and certified by the appropriate board</w:t>
      </w:r>
      <w:r w:rsidR="001736A0">
        <w:rPr>
          <w:rFonts w:ascii="Arial" w:hAnsi="Arial" w:cs="Arial"/>
          <w:sz w:val="24"/>
          <w:szCs w:val="24"/>
        </w:rPr>
        <w:t>.</w:t>
      </w:r>
    </w:p>
    <w:p w14:paraId="39DF3CCC" w14:textId="77777777" w:rsidR="00810C41" w:rsidRPr="002369BD" w:rsidRDefault="00810C41" w:rsidP="009028D3">
      <w:pPr>
        <w:pStyle w:val="ListParagraph"/>
        <w:tabs>
          <w:tab w:val="left" w:pos="360"/>
          <w:tab w:val="left" w:pos="630"/>
        </w:tabs>
        <w:spacing w:after="0" w:line="360" w:lineRule="auto"/>
        <w:ind w:left="0"/>
        <w:jc w:val="both"/>
        <w:rPr>
          <w:rFonts w:ascii="Arial" w:hAnsi="Arial" w:cs="Arial"/>
          <w:sz w:val="24"/>
          <w:szCs w:val="24"/>
        </w:rPr>
      </w:pPr>
    </w:p>
    <w:p w14:paraId="0598D3D7" w14:textId="14C9A448" w:rsidR="00E926F2" w:rsidRPr="002369BD" w:rsidRDefault="00E926F2" w:rsidP="00232BDE">
      <w:pPr>
        <w:pStyle w:val="ListParagraph"/>
        <w:numPr>
          <w:ilvl w:val="0"/>
          <w:numId w:val="6"/>
        </w:numPr>
        <w:tabs>
          <w:tab w:val="left" w:pos="360"/>
          <w:tab w:val="left" w:pos="630"/>
        </w:tabs>
        <w:spacing w:after="0" w:line="360" w:lineRule="auto"/>
        <w:ind w:left="0" w:firstLine="0"/>
        <w:jc w:val="both"/>
        <w:rPr>
          <w:rFonts w:ascii="Arial" w:hAnsi="Arial" w:cs="Arial"/>
          <w:b/>
          <w:sz w:val="24"/>
          <w:szCs w:val="24"/>
        </w:rPr>
      </w:pPr>
      <w:r w:rsidRPr="002369BD">
        <w:rPr>
          <w:rFonts w:ascii="Arial" w:hAnsi="Arial" w:cs="Arial"/>
          <w:b/>
          <w:sz w:val="24"/>
          <w:szCs w:val="24"/>
        </w:rPr>
        <w:t>Technologist</w:t>
      </w:r>
    </w:p>
    <w:p w14:paraId="16B0092B" w14:textId="6756331D" w:rsidR="00E926F2" w:rsidRPr="002369BD" w:rsidRDefault="00940A6E" w:rsidP="009028D3">
      <w:pPr>
        <w:pStyle w:val="ListParagraph"/>
        <w:tabs>
          <w:tab w:val="left" w:pos="360"/>
          <w:tab w:val="left" w:pos="630"/>
        </w:tabs>
        <w:spacing w:after="0" w:line="360" w:lineRule="auto"/>
        <w:ind w:left="0"/>
        <w:jc w:val="both"/>
        <w:rPr>
          <w:rFonts w:ascii="Arial" w:hAnsi="Arial" w:cs="Arial"/>
          <w:sz w:val="24"/>
          <w:szCs w:val="24"/>
        </w:rPr>
      </w:pPr>
      <w:r w:rsidRPr="002369BD">
        <w:rPr>
          <w:rFonts w:ascii="Arial" w:hAnsi="Arial" w:cs="Arial"/>
          <w:sz w:val="24"/>
          <w:szCs w:val="24"/>
        </w:rPr>
        <w:tab/>
      </w:r>
      <w:r w:rsidR="566FBA14" w:rsidRPr="002369BD">
        <w:rPr>
          <w:rFonts w:ascii="Arial" w:hAnsi="Arial" w:cs="Arial"/>
          <w:sz w:val="24"/>
          <w:szCs w:val="24"/>
        </w:rPr>
        <w:t xml:space="preserve">Scintigraphic imaging for DTC should be performed by a qualified registered or certified </w:t>
      </w:r>
      <w:r w:rsidR="00AA496C">
        <w:rPr>
          <w:rFonts w:ascii="Arial" w:hAnsi="Arial" w:cs="Arial"/>
          <w:sz w:val="24"/>
          <w:szCs w:val="24"/>
        </w:rPr>
        <w:t>N</w:t>
      </w:r>
      <w:r w:rsidR="566FBA14" w:rsidRPr="002369BD">
        <w:rPr>
          <w:rFonts w:ascii="Arial" w:hAnsi="Arial" w:cs="Arial"/>
          <w:sz w:val="24"/>
          <w:szCs w:val="24"/>
        </w:rPr>
        <w:t xml:space="preserve">uclear </w:t>
      </w:r>
      <w:r w:rsidR="00AA496C">
        <w:rPr>
          <w:rFonts w:ascii="Arial" w:hAnsi="Arial" w:cs="Arial"/>
          <w:sz w:val="24"/>
          <w:szCs w:val="24"/>
        </w:rPr>
        <w:t>M</w:t>
      </w:r>
      <w:r w:rsidR="566FBA14" w:rsidRPr="002369BD">
        <w:rPr>
          <w:rFonts w:ascii="Arial" w:hAnsi="Arial" w:cs="Arial"/>
          <w:sz w:val="24"/>
          <w:szCs w:val="24"/>
        </w:rPr>
        <w:t xml:space="preserve">edicine technologist.  Refer to the </w:t>
      </w:r>
      <w:r w:rsidR="566FBA14" w:rsidRPr="002369BD">
        <w:rPr>
          <w:rFonts w:ascii="Arial" w:hAnsi="Arial" w:cs="Arial"/>
          <w:i/>
          <w:iCs/>
          <w:sz w:val="24"/>
          <w:szCs w:val="24"/>
        </w:rPr>
        <w:t>Responsibility and Guidelines for the Nuclear Medicine Technologist</w:t>
      </w:r>
      <w:r w:rsidR="566FBA14" w:rsidRPr="002369BD">
        <w:rPr>
          <w:rFonts w:ascii="Arial" w:hAnsi="Arial" w:cs="Arial"/>
          <w:sz w:val="24"/>
          <w:szCs w:val="24"/>
        </w:rPr>
        <w:t xml:space="preserve"> for further details.</w:t>
      </w:r>
    </w:p>
    <w:p w14:paraId="6BCDA097" w14:textId="77777777" w:rsidR="00810C41" w:rsidRPr="002369BD" w:rsidRDefault="00810C41" w:rsidP="009028D3">
      <w:pPr>
        <w:pStyle w:val="ListParagraph"/>
        <w:tabs>
          <w:tab w:val="left" w:pos="360"/>
          <w:tab w:val="left" w:pos="630"/>
        </w:tabs>
        <w:spacing w:after="0" w:line="360" w:lineRule="auto"/>
        <w:ind w:left="0"/>
        <w:jc w:val="both"/>
        <w:rPr>
          <w:rFonts w:ascii="Arial" w:hAnsi="Arial" w:cs="Arial"/>
          <w:sz w:val="24"/>
          <w:szCs w:val="24"/>
        </w:rPr>
      </w:pPr>
    </w:p>
    <w:p w14:paraId="7F09458A" w14:textId="588A323A" w:rsidR="00E926F2" w:rsidRPr="002369BD" w:rsidRDefault="00E926F2" w:rsidP="00232BDE">
      <w:pPr>
        <w:pStyle w:val="ListParagraph"/>
        <w:numPr>
          <w:ilvl w:val="0"/>
          <w:numId w:val="6"/>
        </w:numPr>
        <w:tabs>
          <w:tab w:val="left" w:pos="360"/>
          <w:tab w:val="left" w:pos="630"/>
        </w:tabs>
        <w:spacing w:after="0" w:line="360" w:lineRule="auto"/>
        <w:ind w:left="0" w:firstLine="0"/>
        <w:jc w:val="both"/>
        <w:rPr>
          <w:rFonts w:ascii="Arial" w:hAnsi="Arial" w:cs="Arial"/>
          <w:b/>
          <w:sz w:val="24"/>
          <w:szCs w:val="24"/>
        </w:rPr>
      </w:pPr>
      <w:r w:rsidRPr="002369BD">
        <w:rPr>
          <w:rFonts w:ascii="Arial" w:hAnsi="Arial" w:cs="Arial"/>
          <w:b/>
          <w:sz w:val="24"/>
          <w:szCs w:val="24"/>
        </w:rPr>
        <w:t>Medical Physicist</w:t>
      </w:r>
    </w:p>
    <w:p w14:paraId="48B5BD9A" w14:textId="612ADD40" w:rsidR="00E926F2" w:rsidRPr="002369BD" w:rsidRDefault="00940A6E" w:rsidP="009028D3">
      <w:pPr>
        <w:pStyle w:val="ListParagraph"/>
        <w:tabs>
          <w:tab w:val="left" w:pos="360"/>
          <w:tab w:val="left" w:pos="630"/>
        </w:tabs>
        <w:spacing w:after="0" w:line="360" w:lineRule="auto"/>
        <w:ind w:left="0"/>
        <w:jc w:val="both"/>
        <w:rPr>
          <w:rFonts w:ascii="Arial" w:hAnsi="Arial" w:cs="Arial"/>
          <w:sz w:val="24"/>
          <w:szCs w:val="24"/>
        </w:rPr>
      </w:pPr>
      <w:r w:rsidRPr="002369BD">
        <w:rPr>
          <w:rFonts w:ascii="Arial" w:hAnsi="Arial" w:cs="Arial"/>
          <w:sz w:val="24"/>
          <w:szCs w:val="24"/>
        </w:rPr>
        <w:tab/>
      </w:r>
      <w:r w:rsidR="00E926F2" w:rsidRPr="002369BD">
        <w:rPr>
          <w:rFonts w:ascii="Arial" w:hAnsi="Arial" w:cs="Arial"/>
          <w:sz w:val="24"/>
          <w:szCs w:val="24"/>
        </w:rPr>
        <w:t>The medical physicist should be involved in protocol/image acquisition and processing as necessary</w:t>
      </w:r>
      <w:r w:rsidR="008E311B">
        <w:rPr>
          <w:rFonts w:ascii="Arial" w:hAnsi="Arial" w:cs="Arial"/>
          <w:sz w:val="24"/>
          <w:szCs w:val="24"/>
        </w:rPr>
        <w:t xml:space="preserve"> including</w:t>
      </w:r>
      <w:r w:rsidR="00E926F2" w:rsidRPr="002369BD">
        <w:rPr>
          <w:rFonts w:ascii="Arial" w:hAnsi="Arial" w:cs="Arial"/>
          <w:sz w:val="24"/>
          <w:szCs w:val="24"/>
        </w:rPr>
        <w:t xml:space="preserve"> as recommended by the manufacturer.</w:t>
      </w:r>
    </w:p>
    <w:p w14:paraId="3BDC2324" w14:textId="77777777" w:rsidR="00ED74FA" w:rsidRPr="002369BD" w:rsidRDefault="00ED74FA" w:rsidP="009028D3">
      <w:pPr>
        <w:pStyle w:val="ListParagraph"/>
        <w:tabs>
          <w:tab w:val="left" w:pos="360"/>
          <w:tab w:val="left" w:pos="630"/>
        </w:tabs>
        <w:spacing w:after="0" w:line="360" w:lineRule="auto"/>
        <w:ind w:left="0"/>
        <w:jc w:val="both"/>
        <w:rPr>
          <w:rFonts w:ascii="Arial" w:hAnsi="Arial" w:cs="Arial"/>
          <w:sz w:val="24"/>
          <w:szCs w:val="24"/>
        </w:rPr>
      </w:pPr>
    </w:p>
    <w:p w14:paraId="0AD810B5" w14:textId="1F73DF0F" w:rsidR="001741B8" w:rsidRDefault="00897502"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V</w:t>
      </w:r>
      <w:r w:rsidR="00735A76">
        <w:rPr>
          <w:rFonts w:ascii="Arial" w:hAnsi="Arial" w:cs="Arial"/>
          <w:b/>
          <w:sz w:val="24"/>
          <w:szCs w:val="24"/>
        </w:rPr>
        <w:t>I</w:t>
      </w:r>
      <w:r w:rsidRPr="002369BD">
        <w:rPr>
          <w:rFonts w:ascii="Arial" w:hAnsi="Arial" w:cs="Arial"/>
          <w:b/>
          <w:sz w:val="24"/>
          <w:szCs w:val="24"/>
        </w:rPr>
        <w:t xml:space="preserve">. </w:t>
      </w:r>
      <w:r w:rsidR="00E926F2" w:rsidRPr="002369BD">
        <w:rPr>
          <w:rFonts w:ascii="Arial" w:hAnsi="Arial" w:cs="Arial"/>
          <w:b/>
          <w:sz w:val="24"/>
          <w:szCs w:val="24"/>
        </w:rPr>
        <w:t>PROCEDURE</w:t>
      </w:r>
    </w:p>
    <w:p w14:paraId="25404106" w14:textId="77777777" w:rsidR="00B67D84" w:rsidRPr="002369BD" w:rsidRDefault="00B67D84" w:rsidP="009028D3">
      <w:pPr>
        <w:tabs>
          <w:tab w:val="left" w:pos="360"/>
          <w:tab w:val="left" w:pos="630"/>
        </w:tabs>
        <w:spacing w:after="0" w:line="360" w:lineRule="auto"/>
        <w:jc w:val="both"/>
        <w:rPr>
          <w:rFonts w:ascii="Arial" w:hAnsi="Arial" w:cs="Arial"/>
          <w:b/>
          <w:sz w:val="24"/>
          <w:szCs w:val="24"/>
        </w:rPr>
      </w:pPr>
    </w:p>
    <w:p w14:paraId="3C9B1DBD" w14:textId="2D0B5C7F" w:rsidR="00E926F2" w:rsidRDefault="00CD39D4"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E926F2" w:rsidRPr="002369BD">
        <w:rPr>
          <w:rFonts w:ascii="Arial" w:hAnsi="Arial" w:cs="Arial"/>
          <w:sz w:val="24"/>
          <w:szCs w:val="24"/>
        </w:rPr>
        <w:t>Also see the SNMMI Procedure Standard for General Imaging.</w:t>
      </w:r>
    </w:p>
    <w:p w14:paraId="27E83B65" w14:textId="77777777" w:rsidR="00B67D84" w:rsidRPr="002369BD" w:rsidRDefault="00B67D84" w:rsidP="009028D3">
      <w:pPr>
        <w:tabs>
          <w:tab w:val="left" w:pos="360"/>
          <w:tab w:val="left" w:pos="630"/>
        </w:tabs>
        <w:spacing w:after="0" w:line="360" w:lineRule="auto"/>
        <w:jc w:val="both"/>
        <w:rPr>
          <w:rFonts w:ascii="Arial" w:hAnsi="Arial" w:cs="Arial"/>
          <w:sz w:val="24"/>
          <w:szCs w:val="24"/>
        </w:rPr>
      </w:pPr>
    </w:p>
    <w:p w14:paraId="5E23896C" w14:textId="637DB355" w:rsidR="00E926F2" w:rsidRPr="002369BD" w:rsidRDefault="00E926F2" w:rsidP="00232BDE">
      <w:pPr>
        <w:pStyle w:val="ListParagraph"/>
        <w:numPr>
          <w:ilvl w:val="0"/>
          <w:numId w:val="7"/>
        </w:numPr>
        <w:tabs>
          <w:tab w:val="left" w:pos="360"/>
          <w:tab w:val="left" w:pos="630"/>
        </w:tabs>
        <w:spacing w:after="0" w:line="360" w:lineRule="auto"/>
        <w:ind w:left="0" w:firstLine="0"/>
        <w:jc w:val="both"/>
        <w:rPr>
          <w:rFonts w:ascii="Arial" w:hAnsi="Arial" w:cs="Arial"/>
          <w:sz w:val="24"/>
          <w:szCs w:val="24"/>
        </w:rPr>
      </w:pPr>
      <w:r w:rsidRPr="002369BD">
        <w:rPr>
          <w:rFonts w:ascii="Arial" w:hAnsi="Arial" w:cs="Arial"/>
          <w:b/>
          <w:sz w:val="24"/>
          <w:szCs w:val="24"/>
        </w:rPr>
        <w:t>Study Requisition and Appropriateness</w:t>
      </w:r>
    </w:p>
    <w:p w14:paraId="7B820D99" w14:textId="0D888434" w:rsidR="00ED74FA" w:rsidRPr="002369BD" w:rsidRDefault="00CD39D4" w:rsidP="009028D3">
      <w:pPr>
        <w:pStyle w:val="ListParagraph"/>
        <w:tabs>
          <w:tab w:val="left" w:pos="360"/>
          <w:tab w:val="left" w:pos="630"/>
        </w:tabs>
        <w:spacing w:after="0" w:line="360" w:lineRule="auto"/>
        <w:ind w:left="0"/>
        <w:jc w:val="both"/>
        <w:rPr>
          <w:rFonts w:ascii="Arial" w:hAnsi="Arial" w:cs="Arial"/>
          <w:sz w:val="24"/>
          <w:szCs w:val="24"/>
        </w:rPr>
      </w:pPr>
      <w:r w:rsidRPr="002369BD">
        <w:rPr>
          <w:rFonts w:ascii="Arial" w:hAnsi="Arial" w:cs="Arial"/>
          <w:sz w:val="24"/>
          <w:szCs w:val="24"/>
        </w:rPr>
        <w:tab/>
      </w:r>
      <w:r w:rsidR="00E926F2" w:rsidRPr="002369BD">
        <w:rPr>
          <w:rFonts w:ascii="Arial" w:hAnsi="Arial" w:cs="Arial"/>
          <w:sz w:val="24"/>
          <w:szCs w:val="24"/>
        </w:rPr>
        <w:t xml:space="preserve">The requisition should include all clinical information about the patient necessary for correct coding of the study.  The requisition should also indicate the ability of the patient to cooperate, if there is need for mild sedation or analgesia, and whether the patient needs to be accompanied by a guardian.  </w:t>
      </w:r>
      <w:r w:rsidR="007E4219" w:rsidRPr="007E4219">
        <w:rPr>
          <w:rFonts w:ascii="Arial" w:hAnsi="Arial" w:cs="Arial"/>
          <w:sz w:val="24"/>
          <w:szCs w:val="24"/>
        </w:rPr>
        <w:t xml:space="preserve">The exam request should be reviewed by the Nuclear Medicine staff and as needed by the Nuclear Medicine physician for appropriateness. The patient should also be contacted by the Nuclear Medicine department for any pre-scan </w:t>
      </w:r>
      <w:r w:rsidR="007E4219" w:rsidRPr="007E4219">
        <w:rPr>
          <w:rFonts w:ascii="Arial" w:hAnsi="Arial" w:cs="Arial"/>
          <w:sz w:val="24"/>
          <w:szCs w:val="24"/>
        </w:rPr>
        <w:lastRenderedPageBreak/>
        <w:t>instructions (i.e., low iodine diet)</w:t>
      </w:r>
      <w:r w:rsidR="007E4219">
        <w:rPr>
          <w:rFonts w:ascii="Arial" w:hAnsi="Arial" w:cs="Arial"/>
          <w:sz w:val="24"/>
          <w:szCs w:val="24"/>
        </w:rPr>
        <w:t>, to give</w:t>
      </w:r>
      <w:r w:rsidR="007E4219" w:rsidRPr="007E4219">
        <w:rPr>
          <w:rFonts w:ascii="Arial" w:hAnsi="Arial" w:cs="Arial"/>
          <w:sz w:val="24"/>
          <w:szCs w:val="24"/>
        </w:rPr>
        <w:t xml:space="preserve"> general information regarding the requested Nuclear Medicine procedure (i.e., fasting requirements, laboratory to assess pregnancy status, anticipate length of study)</w:t>
      </w:r>
      <w:r w:rsidR="00894489">
        <w:rPr>
          <w:rFonts w:ascii="Arial" w:hAnsi="Arial" w:cs="Arial"/>
          <w:sz w:val="24"/>
          <w:szCs w:val="24"/>
        </w:rPr>
        <w:t xml:space="preserve">, and </w:t>
      </w:r>
      <w:r w:rsidR="00445B13" w:rsidRPr="002369BD">
        <w:rPr>
          <w:rFonts w:ascii="Arial" w:hAnsi="Arial" w:cs="Arial"/>
          <w:sz w:val="24"/>
          <w:szCs w:val="24"/>
        </w:rPr>
        <w:t>to establish</w:t>
      </w:r>
      <w:r w:rsidR="00897502" w:rsidRPr="002369BD">
        <w:rPr>
          <w:rFonts w:ascii="Arial" w:hAnsi="Arial" w:cs="Arial"/>
          <w:sz w:val="24"/>
          <w:szCs w:val="24"/>
        </w:rPr>
        <w:t xml:space="preserve"> </w:t>
      </w:r>
      <w:r w:rsidR="00002C98" w:rsidRPr="002369BD">
        <w:rPr>
          <w:rFonts w:ascii="Arial" w:hAnsi="Arial" w:cs="Arial"/>
          <w:sz w:val="24"/>
          <w:szCs w:val="24"/>
        </w:rPr>
        <w:t>a</w:t>
      </w:r>
      <w:r w:rsidR="00897502" w:rsidRPr="002369BD">
        <w:rPr>
          <w:rFonts w:ascii="Arial" w:hAnsi="Arial" w:cs="Arial"/>
          <w:sz w:val="24"/>
          <w:szCs w:val="24"/>
        </w:rPr>
        <w:t xml:space="preserve"> doctor/patient </w:t>
      </w:r>
      <w:r w:rsidR="00FE5AFC" w:rsidRPr="002369BD">
        <w:rPr>
          <w:rFonts w:ascii="Arial" w:hAnsi="Arial" w:cs="Arial"/>
          <w:sz w:val="24"/>
          <w:szCs w:val="24"/>
        </w:rPr>
        <w:t>relationship</w:t>
      </w:r>
      <w:r w:rsidR="00445B13" w:rsidRPr="002369BD">
        <w:rPr>
          <w:rFonts w:ascii="Arial" w:hAnsi="Arial" w:cs="Arial"/>
          <w:sz w:val="24"/>
          <w:szCs w:val="24"/>
        </w:rPr>
        <w:t>.</w:t>
      </w:r>
      <w:bookmarkStart w:id="1" w:name="page2"/>
      <w:bookmarkEnd w:id="1"/>
    </w:p>
    <w:p w14:paraId="120C4A22" w14:textId="77777777" w:rsidR="00810C41" w:rsidRPr="002369BD" w:rsidRDefault="00810C41" w:rsidP="009028D3">
      <w:pPr>
        <w:pStyle w:val="ListParagraph"/>
        <w:tabs>
          <w:tab w:val="left" w:pos="360"/>
          <w:tab w:val="left" w:pos="630"/>
        </w:tabs>
        <w:spacing w:after="0" w:line="360" w:lineRule="auto"/>
        <w:ind w:left="0"/>
        <w:jc w:val="both"/>
        <w:rPr>
          <w:rFonts w:ascii="Arial" w:hAnsi="Arial" w:cs="Arial"/>
          <w:sz w:val="24"/>
          <w:szCs w:val="24"/>
        </w:rPr>
      </w:pPr>
    </w:p>
    <w:p w14:paraId="4A4DC255" w14:textId="08E60608" w:rsidR="001741B8" w:rsidRPr="002369BD" w:rsidRDefault="00E926F2" w:rsidP="009028D3">
      <w:pPr>
        <w:pStyle w:val="ListParagraph"/>
        <w:tabs>
          <w:tab w:val="left" w:pos="360"/>
          <w:tab w:val="left" w:pos="630"/>
        </w:tabs>
        <w:spacing w:after="0" w:line="360" w:lineRule="auto"/>
        <w:ind w:left="0"/>
        <w:jc w:val="both"/>
        <w:rPr>
          <w:rFonts w:ascii="Arial" w:hAnsi="Arial" w:cs="Arial"/>
          <w:b/>
          <w:sz w:val="24"/>
          <w:szCs w:val="24"/>
        </w:rPr>
      </w:pPr>
      <w:r w:rsidRPr="002369BD">
        <w:rPr>
          <w:rFonts w:ascii="Arial" w:hAnsi="Arial" w:cs="Arial"/>
          <w:b/>
          <w:sz w:val="24"/>
          <w:szCs w:val="24"/>
        </w:rPr>
        <w:t>B</w:t>
      </w:r>
      <w:r w:rsidR="00085969" w:rsidRPr="002369BD">
        <w:rPr>
          <w:rFonts w:ascii="Arial" w:hAnsi="Arial" w:cs="Arial"/>
          <w:b/>
          <w:sz w:val="24"/>
          <w:szCs w:val="24"/>
        </w:rPr>
        <w:t xml:space="preserve">.  </w:t>
      </w:r>
      <w:r w:rsidR="00897502" w:rsidRPr="002369BD">
        <w:rPr>
          <w:rFonts w:ascii="Arial" w:hAnsi="Arial" w:cs="Arial"/>
          <w:b/>
          <w:sz w:val="24"/>
          <w:szCs w:val="24"/>
        </w:rPr>
        <w:t>Patient Preparation</w:t>
      </w:r>
    </w:p>
    <w:p w14:paraId="55BABD57" w14:textId="49447331" w:rsidR="000801B9" w:rsidRPr="002369BD" w:rsidRDefault="00CD39D4"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39022FE1" w:rsidRPr="002369BD">
        <w:rPr>
          <w:rFonts w:ascii="Arial" w:hAnsi="Arial" w:cs="Arial"/>
          <w:sz w:val="24"/>
          <w:szCs w:val="24"/>
          <w:u w:val="single"/>
        </w:rPr>
        <w:t xml:space="preserve">Avoid materials </w:t>
      </w:r>
      <w:r w:rsidR="008A4FA5">
        <w:rPr>
          <w:rFonts w:ascii="Arial" w:hAnsi="Arial" w:cs="Arial"/>
          <w:sz w:val="24"/>
          <w:szCs w:val="24"/>
          <w:u w:val="single"/>
        </w:rPr>
        <w:t xml:space="preserve">that can interfere with </w:t>
      </w:r>
      <w:r w:rsidR="008E2EF0">
        <w:rPr>
          <w:rFonts w:ascii="Arial" w:hAnsi="Arial" w:cs="Arial"/>
          <w:sz w:val="24"/>
          <w:szCs w:val="24"/>
          <w:u w:val="single"/>
        </w:rPr>
        <w:t xml:space="preserve">uptake </w:t>
      </w:r>
      <w:r w:rsidR="008A4FA5">
        <w:rPr>
          <w:rFonts w:ascii="Arial" w:hAnsi="Arial" w:cs="Arial"/>
          <w:sz w:val="24"/>
          <w:szCs w:val="24"/>
          <w:u w:val="single"/>
        </w:rPr>
        <w:t>of</w:t>
      </w:r>
      <w:r w:rsidR="39022FE1" w:rsidRPr="002369BD">
        <w:rPr>
          <w:rFonts w:ascii="Arial" w:hAnsi="Arial" w:cs="Arial"/>
          <w:sz w:val="24"/>
          <w:szCs w:val="24"/>
          <w:u w:val="single"/>
        </w:rPr>
        <w:t xml:space="preserve"> 131I NaI or 123I NaI</w:t>
      </w:r>
      <w:r w:rsidR="39022FE1" w:rsidRPr="002369BD">
        <w:rPr>
          <w:rFonts w:ascii="Arial" w:hAnsi="Arial" w:cs="Arial"/>
          <w:sz w:val="24"/>
          <w:szCs w:val="24"/>
        </w:rPr>
        <w:t xml:space="preserve">: The concentration of radioiodine in functioning </w:t>
      </w:r>
      <w:r w:rsidR="003B0AF6" w:rsidRPr="002369BD">
        <w:rPr>
          <w:rFonts w:ascii="Arial" w:hAnsi="Arial" w:cs="Arial"/>
          <w:sz w:val="24"/>
          <w:szCs w:val="24"/>
        </w:rPr>
        <w:t xml:space="preserve">benign or malignant </w:t>
      </w:r>
      <w:r w:rsidR="39022FE1" w:rsidRPr="002369BD">
        <w:rPr>
          <w:rFonts w:ascii="Arial" w:hAnsi="Arial" w:cs="Arial"/>
          <w:sz w:val="24"/>
          <w:szCs w:val="24"/>
        </w:rPr>
        <w:t>thyroid tissue</w:t>
      </w:r>
      <w:r w:rsidR="003B0AF6" w:rsidRPr="002369BD">
        <w:rPr>
          <w:rFonts w:ascii="Arial" w:hAnsi="Arial" w:cs="Arial"/>
          <w:sz w:val="24"/>
          <w:szCs w:val="24"/>
        </w:rPr>
        <w:t xml:space="preserve"> </w:t>
      </w:r>
      <w:r w:rsidR="39022FE1" w:rsidRPr="002369BD">
        <w:rPr>
          <w:rFonts w:ascii="Arial" w:hAnsi="Arial" w:cs="Arial"/>
          <w:sz w:val="24"/>
          <w:szCs w:val="24"/>
        </w:rPr>
        <w:t>is affected by many interfering factors, and imaging should be delayed for a period long enough to eliminate their competing effects.</w:t>
      </w:r>
    </w:p>
    <w:p w14:paraId="43F0888B" w14:textId="6532A921" w:rsidR="009028D3" w:rsidRPr="002369BD" w:rsidRDefault="00E37353" w:rsidP="00232BDE">
      <w:pPr>
        <w:pStyle w:val="ListParagraph"/>
        <w:numPr>
          <w:ilvl w:val="0"/>
          <w:numId w:val="8"/>
        </w:numPr>
        <w:tabs>
          <w:tab w:val="left" w:pos="360"/>
          <w:tab w:val="left" w:pos="630"/>
        </w:tabs>
        <w:spacing w:after="0" w:line="360" w:lineRule="auto"/>
        <w:jc w:val="both"/>
        <w:rPr>
          <w:rFonts w:ascii="Arial" w:hAnsi="Arial" w:cs="Arial"/>
          <w:i/>
          <w:iCs/>
          <w:sz w:val="24"/>
          <w:szCs w:val="24"/>
        </w:rPr>
        <w:sectPr w:rsidR="009028D3" w:rsidRPr="002369BD" w:rsidSect="00F354FE">
          <w:type w:val="continuous"/>
          <w:pgSz w:w="12240" w:h="15840"/>
          <w:pgMar w:top="1440" w:right="1440" w:bottom="1440" w:left="1440" w:header="720" w:footer="720" w:gutter="0"/>
          <w:cols w:space="720"/>
          <w:noEndnote/>
          <w:docGrid w:linePitch="299"/>
        </w:sectPr>
      </w:pPr>
      <w:r w:rsidRPr="002369BD">
        <w:rPr>
          <w:rFonts w:ascii="Arial" w:hAnsi="Arial" w:cs="Arial"/>
          <w:i/>
          <w:iCs/>
          <w:sz w:val="24"/>
          <w:szCs w:val="24"/>
        </w:rPr>
        <w:t>Medications/</w:t>
      </w:r>
      <w:r w:rsidR="0020574E" w:rsidRPr="002369BD">
        <w:rPr>
          <w:rFonts w:ascii="Arial" w:hAnsi="Arial" w:cs="Arial"/>
          <w:i/>
          <w:iCs/>
          <w:sz w:val="24"/>
          <w:szCs w:val="24"/>
        </w:rPr>
        <w:t>drugs</w:t>
      </w:r>
      <w:r w:rsidRPr="002369BD">
        <w:rPr>
          <w:rFonts w:ascii="Arial" w:hAnsi="Arial" w:cs="Arial"/>
          <w:i/>
          <w:iCs/>
          <w:sz w:val="24"/>
          <w:szCs w:val="24"/>
        </w:rPr>
        <w:t xml:space="preserve"> that may interfere with RAI</w:t>
      </w:r>
      <w:r w:rsidR="006A313A" w:rsidRPr="002369BD">
        <w:rPr>
          <w:rFonts w:ascii="Arial" w:hAnsi="Arial" w:cs="Arial"/>
          <w:i/>
          <w:iCs/>
          <w:sz w:val="24"/>
          <w:szCs w:val="24"/>
        </w:rPr>
        <w:t xml:space="preserve"> </w:t>
      </w:r>
      <w:r w:rsidR="003B0AF6" w:rsidRPr="002369BD">
        <w:rPr>
          <w:rFonts w:ascii="Arial" w:hAnsi="Arial" w:cs="Arial"/>
          <w:i/>
          <w:iCs/>
          <w:sz w:val="24"/>
          <w:szCs w:val="24"/>
        </w:rPr>
        <w:t>u</w:t>
      </w:r>
      <w:r w:rsidR="006A313A" w:rsidRPr="002369BD">
        <w:rPr>
          <w:rFonts w:ascii="Arial" w:hAnsi="Arial" w:cs="Arial"/>
          <w:i/>
          <w:iCs/>
          <w:sz w:val="24"/>
          <w:szCs w:val="24"/>
        </w:rPr>
        <w:t>ptake</w:t>
      </w:r>
      <w:r w:rsidR="002014F8" w:rsidRPr="002369BD">
        <w:rPr>
          <w:rFonts w:ascii="Arial" w:hAnsi="Arial" w:cs="Arial"/>
          <w:sz w:val="24"/>
          <w:szCs w:val="24"/>
        </w:rPr>
        <w:t>:</w:t>
      </w:r>
      <w:r w:rsidR="002B1D3B" w:rsidRPr="002369BD">
        <w:rPr>
          <w:rFonts w:ascii="Arial" w:hAnsi="Arial" w:cs="Arial"/>
          <w:sz w:val="24"/>
          <w:szCs w:val="24"/>
        </w:rPr>
        <w:t xml:space="preserve">  </w:t>
      </w:r>
      <w:r w:rsidR="006A313A" w:rsidRPr="002369BD">
        <w:rPr>
          <w:rFonts w:ascii="Arial" w:hAnsi="Arial" w:cs="Arial"/>
          <w:sz w:val="24"/>
          <w:szCs w:val="24"/>
        </w:rPr>
        <w:t xml:space="preserve">Common interfering medications </w:t>
      </w:r>
      <w:r w:rsidR="0043298E" w:rsidRPr="002369BD">
        <w:rPr>
          <w:rFonts w:ascii="Arial" w:hAnsi="Arial" w:cs="Arial"/>
          <w:sz w:val="24"/>
          <w:szCs w:val="24"/>
        </w:rPr>
        <w:t>with recommended</w:t>
      </w:r>
      <w:r w:rsidR="0020574E" w:rsidRPr="002369BD">
        <w:rPr>
          <w:rFonts w:ascii="Arial" w:hAnsi="Arial" w:cs="Arial"/>
          <w:sz w:val="24"/>
          <w:szCs w:val="24"/>
        </w:rPr>
        <w:t xml:space="preserve"> withdrawal times prior to </w:t>
      </w:r>
      <w:r w:rsidRPr="002369BD">
        <w:rPr>
          <w:rFonts w:ascii="Arial" w:hAnsi="Arial" w:cs="Arial"/>
          <w:sz w:val="24"/>
          <w:szCs w:val="24"/>
        </w:rPr>
        <w:t>RAI</w:t>
      </w:r>
      <w:r w:rsidR="0043298E" w:rsidRPr="002369BD">
        <w:rPr>
          <w:rFonts w:ascii="Arial" w:hAnsi="Arial" w:cs="Arial"/>
          <w:sz w:val="24"/>
          <w:szCs w:val="24"/>
        </w:rPr>
        <w:t xml:space="preserve"> </w:t>
      </w:r>
      <w:r w:rsidRPr="002369BD">
        <w:rPr>
          <w:rFonts w:ascii="Arial" w:hAnsi="Arial" w:cs="Arial"/>
          <w:sz w:val="24"/>
          <w:szCs w:val="24"/>
        </w:rPr>
        <w:t>administration</w:t>
      </w:r>
      <w:r w:rsidR="002014F8" w:rsidRPr="002369BD">
        <w:rPr>
          <w:rFonts w:ascii="Arial" w:hAnsi="Arial" w:cs="Arial"/>
          <w:sz w:val="24"/>
          <w:szCs w:val="24"/>
        </w:rPr>
        <w:t xml:space="preserve"> are listed</w:t>
      </w:r>
      <w:r w:rsidR="00BF51DD" w:rsidRPr="002369BD">
        <w:rPr>
          <w:rFonts w:ascii="Arial" w:hAnsi="Arial" w:cs="Arial"/>
          <w:sz w:val="24"/>
          <w:szCs w:val="24"/>
        </w:rPr>
        <w:t xml:space="preserve"> in Table 1</w:t>
      </w:r>
      <w:r w:rsidRPr="002369BD">
        <w:rPr>
          <w:rFonts w:ascii="Arial" w:hAnsi="Arial" w:cs="Arial"/>
          <w:sz w:val="24"/>
          <w:szCs w:val="24"/>
        </w:rPr>
        <w:t>.</w:t>
      </w:r>
      <w:r w:rsidR="00DD2FB7" w:rsidRPr="002369BD">
        <w:rPr>
          <w:rFonts w:ascii="Arial" w:hAnsi="Arial" w:cs="Arial"/>
          <w:sz w:val="24"/>
          <w:szCs w:val="24"/>
        </w:rPr>
        <w:t xml:space="preserve"> </w:t>
      </w:r>
    </w:p>
    <w:p w14:paraId="44BAFA52" w14:textId="38F5C6D7" w:rsidR="00562503" w:rsidRPr="002369BD" w:rsidRDefault="00DC176A" w:rsidP="00232BDE">
      <w:pPr>
        <w:pStyle w:val="ListParagraph"/>
        <w:numPr>
          <w:ilvl w:val="0"/>
          <w:numId w:val="8"/>
        </w:numPr>
        <w:tabs>
          <w:tab w:val="left" w:pos="360"/>
          <w:tab w:val="left" w:pos="630"/>
        </w:tabs>
        <w:spacing w:after="0" w:line="360" w:lineRule="auto"/>
        <w:jc w:val="both"/>
        <w:rPr>
          <w:rFonts w:ascii="Arial" w:hAnsi="Arial" w:cs="Arial"/>
          <w:sz w:val="24"/>
          <w:szCs w:val="24"/>
        </w:rPr>
      </w:pPr>
      <w:r w:rsidRPr="002369BD">
        <w:rPr>
          <w:rFonts w:ascii="Arial" w:hAnsi="Arial" w:cs="Arial"/>
          <w:i/>
          <w:iCs/>
          <w:sz w:val="24"/>
          <w:szCs w:val="24"/>
        </w:rPr>
        <w:t>Iodine-containing food and supplements</w:t>
      </w:r>
      <w:r w:rsidR="0020574E" w:rsidRPr="002369BD">
        <w:rPr>
          <w:rFonts w:ascii="Arial" w:hAnsi="Arial" w:cs="Arial"/>
          <w:sz w:val="24"/>
          <w:szCs w:val="24"/>
        </w:rPr>
        <w:t>:</w:t>
      </w:r>
      <w:r w:rsidRPr="002369BD">
        <w:rPr>
          <w:rFonts w:ascii="Arial" w:hAnsi="Arial" w:cs="Arial"/>
          <w:sz w:val="24"/>
          <w:szCs w:val="24"/>
        </w:rPr>
        <w:t xml:space="preserve">   </w:t>
      </w:r>
      <w:r w:rsidR="006A313A" w:rsidRPr="002369BD">
        <w:rPr>
          <w:rFonts w:ascii="Arial" w:hAnsi="Arial" w:cs="Arial"/>
          <w:sz w:val="24"/>
          <w:szCs w:val="24"/>
        </w:rPr>
        <w:t xml:space="preserve">Optimal preparation for RAI scintigraphy includes a </w:t>
      </w:r>
      <w:r w:rsidR="00DC74BE" w:rsidRPr="002369BD">
        <w:rPr>
          <w:rFonts w:ascii="Arial" w:hAnsi="Arial" w:cs="Arial"/>
          <w:sz w:val="24"/>
          <w:szCs w:val="24"/>
        </w:rPr>
        <w:t>1 to</w:t>
      </w:r>
      <w:r w:rsidR="008A4FA5" w:rsidRPr="00732BAE">
        <w:rPr>
          <w:rFonts w:ascii="Arial" w:hAnsi="Arial" w:cs="Arial"/>
          <w:sz w:val="24"/>
          <w:szCs w:val="24"/>
        </w:rPr>
        <w:t xml:space="preserve"> </w:t>
      </w:r>
      <w:r w:rsidR="006A313A" w:rsidRPr="002369BD">
        <w:rPr>
          <w:rFonts w:ascii="Arial" w:hAnsi="Arial" w:cs="Arial"/>
          <w:sz w:val="24"/>
          <w:szCs w:val="24"/>
        </w:rPr>
        <w:t>2 week</w:t>
      </w:r>
      <w:r w:rsidRPr="002369BD">
        <w:rPr>
          <w:rFonts w:ascii="Arial" w:hAnsi="Arial" w:cs="Arial"/>
          <w:sz w:val="24"/>
          <w:szCs w:val="24"/>
        </w:rPr>
        <w:t xml:space="preserve"> low-iodine diet </w:t>
      </w:r>
      <w:r w:rsidR="006A313A" w:rsidRPr="002369BD">
        <w:rPr>
          <w:rFonts w:ascii="Arial" w:hAnsi="Arial" w:cs="Arial"/>
          <w:sz w:val="24"/>
          <w:szCs w:val="24"/>
        </w:rPr>
        <w:t>with the goal of minimizing competitive inhibition by stable alimentary iodi</w:t>
      </w:r>
      <w:r w:rsidR="008E2EF0">
        <w:rPr>
          <w:rFonts w:ascii="Arial" w:hAnsi="Arial" w:cs="Arial"/>
          <w:sz w:val="24"/>
          <w:szCs w:val="24"/>
        </w:rPr>
        <w:t>d</w:t>
      </w:r>
      <w:r w:rsidR="006A313A" w:rsidRPr="002369BD">
        <w:rPr>
          <w:rFonts w:ascii="Arial" w:hAnsi="Arial" w:cs="Arial"/>
          <w:sz w:val="24"/>
          <w:szCs w:val="24"/>
        </w:rPr>
        <w:t>e (127I)</w:t>
      </w:r>
      <w:r w:rsidR="0066161D" w:rsidRPr="002369BD">
        <w:rPr>
          <w:rFonts w:ascii="Arial" w:hAnsi="Arial" w:cs="Arial"/>
          <w:sz w:val="24"/>
          <w:szCs w:val="24"/>
        </w:rPr>
        <w:t>. This is to</w:t>
      </w:r>
      <w:r w:rsidR="00796AFD" w:rsidRPr="002369BD">
        <w:rPr>
          <w:rFonts w:ascii="Arial" w:hAnsi="Arial" w:cs="Arial"/>
          <w:sz w:val="24"/>
          <w:szCs w:val="24"/>
        </w:rPr>
        <w:t xml:space="preserve"> </w:t>
      </w:r>
      <w:r w:rsidR="0066161D" w:rsidRPr="002369BD">
        <w:rPr>
          <w:rFonts w:ascii="Arial" w:hAnsi="Arial" w:cs="Arial"/>
          <w:sz w:val="24"/>
          <w:szCs w:val="24"/>
        </w:rPr>
        <w:t>ensure</w:t>
      </w:r>
      <w:r w:rsidR="00612F48" w:rsidRPr="002369BD">
        <w:rPr>
          <w:rFonts w:ascii="Arial" w:hAnsi="Arial" w:cs="Arial"/>
          <w:sz w:val="24"/>
          <w:szCs w:val="24"/>
        </w:rPr>
        <w:t xml:space="preserve"> proper </w:t>
      </w:r>
      <w:r w:rsidR="004614D1" w:rsidRPr="002369BD">
        <w:rPr>
          <w:rFonts w:ascii="Arial" w:hAnsi="Arial" w:cs="Arial"/>
          <w:sz w:val="24"/>
          <w:szCs w:val="24"/>
        </w:rPr>
        <w:t xml:space="preserve">uptake </w:t>
      </w:r>
      <w:r w:rsidR="003F7CC9" w:rsidRPr="002369BD">
        <w:rPr>
          <w:rFonts w:ascii="Arial" w:hAnsi="Arial" w:cs="Arial"/>
          <w:sz w:val="24"/>
          <w:szCs w:val="24"/>
        </w:rPr>
        <w:t>of</w:t>
      </w:r>
      <w:r w:rsidR="004614D1" w:rsidRPr="002369BD">
        <w:rPr>
          <w:rFonts w:ascii="Arial" w:hAnsi="Arial" w:cs="Arial"/>
          <w:sz w:val="24"/>
          <w:szCs w:val="24"/>
        </w:rPr>
        <w:t xml:space="preserve"> the radiopharmaceutical</w:t>
      </w:r>
      <w:r w:rsidR="00A801B2" w:rsidRPr="002369BD">
        <w:rPr>
          <w:rFonts w:ascii="Arial" w:hAnsi="Arial" w:cs="Arial"/>
          <w:sz w:val="24"/>
          <w:szCs w:val="24"/>
        </w:rPr>
        <w:t xml:space="preserve"> </w:t>
      </w:r>
      <w:r w:rsidR="00897502" w:rsidRPr="002369BD">
        <w:rPr>
          <w:rFonts w:ascii="Arial" w:hAnsi="Arial" w:cs="Arial"/>
          <w:sz w:val="24"/>
          <w:szCs w:val="24"/>
        </w:rPr>
        <w:t>by functioning thyroid tissue</w:t>
      </w:r>
      <w:r w:rsidR="00796AFD" w:rsidRPr="002369BD">
        <w:rPr>
          <w:rFonts w:ascii="Arial" w:hAnsi="Arial" w:cs="Arial"/>
          <w:sz w:val="24"/>
          <w:szCs w:val="24"/>
        </w:rPr>
        <w:t xml:space="preserve"> and </w:t>
      </w:r>
      <w:r w:rsidR="008A4FA5">
        <w:rPr>
          <w:rFonts w:ascii="Arial" w:hAnsi="Arial" w:cs="Arial"/>
          <w:sz w:val="24"/>
          <w:szCs w:val="24"/>
        </w:rPr>
        <w:t xml:space="preserve">to </w:t>
      </w:r>
      <w:r w:rsidR="00796AFD" w:rsidRPr="002369BD">
        <w:rPr>
          <w:rFonts w:ascii="Arial" w:hAnsi="Arial" w:cs="Arial"/>
          <w:sz w:val="24"/>
          <w:szCs w:val="24"/>
        </w:rPr>
        <w:t xml:space="preserve">increase </w:t>
      </w:r>
      <w:r w:rsidR="001B602B" w:rsidRPr="002369BD">
        <w:rPr>
          <w:rFonts w:ascii="Arial" w:hAnsi="Arial" w:cs="Arial"/>
          <w:sz w:val="24"/>
          <w:szCs w:val="24"/>
        </w:rPr>
        <w:t xml:space="preserve">imaging </w:t>
      </w:r>
      <w:r w:rsidR="00796AFD" w:rsidRPr="002369BD">
        <w:rPr>
          <w:rFonts w:ascii="Arial" w:hAnsi="Arial" w:cs="Arial"/>
          <w:sz w:val="24"/>
          <w:szCs w:val="24"/>
        </w:rPr>
        <w:t>sensitivity</w:t>
      </w:r>
      <w:r w:rsidR="00897502" w:rsidRPr="002369BD">
        <w:rPr>
          <w:rFonts w:ascii="Arial" w:hAnsi="Arial" w:cs="Arial"/>
          <w:sz w:val="24"/>
          <w:szCs w:val="24"/>
        </w:rPr>
        <w:t xml:space="preserve">. </w:t>
      </w:r>
      <w:r w:rsidR="001B602B" w:rsidRPr="002369BD">
        <w:rPr>
          <w:rFonts w:ascii="Arial" w:hAnsi="Arial" w:cs="Arial"/>
          <w:sz w:val="24"/>
          <w:szCs w:val="24"/>
        </w:rPr>
        <w:t xml:space="preserve"> </w:t>
      </w:r>
      <w:r w:rsidR="39022FE1" w:rsidRPr="002369BD">
        <w:rPr>
          <w:rFonts w:ascii="Arial" w:eastAsia="Arial" w:hAnsi="Arial" w:cs="Arial"/>
          <w:sz w:val="24"/>
          <w:szCs w:val="24"/>
        </w:rPr>
        <w:t xml:space="preserve">Kelp, certain multivitamins, and products made with red food dye </w:t>
      </w:r>
      <w:r w:rsidR="00AA496C">
        <w:rPr>
          <w:rFonts w:ascii="Arial" w:eastAsia="Arial" w:hAnsi="Arial" w:cs="Arial"/>
          <w:sz w:val="24"/>
          <w:szCs w:val="24"/>
        </w:rPr>
        <w:t>number</w:t>
      </w:r>
      <w:r w:rsidR="39022FE1" w:rsidRPr="002369BD">
        <w:rPr>
          <w:rFonts w:ascii="Arial" w:eastAsia="Arial" w:hAnsi="Arial" w:cs="Arial"/>
          <w:sz w:val="24"/>
          <w:szCs w:val="24"/>
        </w:rPr>
        <w:t xml:space="preserve"> 3 are examples of </w:t>
      </w:r>
      <w:r w:rsidR="006A313A" w:rsidRPr="002369BD">
        <w:rPr>
          <w:rFonts w:ascii="Arial" w:eastAsia="Arial" w:hAnsi="Arial" w:cs="Arial"/>
          <w:sz w:val="24"/>
          <w:szCs w:val="24"/>
        </w:rPr>
        <w:t xml:space="preserve">common </w:t>
      </w:r>
      <w:r w:rsidR="39022FE1" w:rsidRPr="002369BD">
        <w:rPr>
          <w:rFonts w:ascii="Arial" w:eastAsia="Arial" w:hAnsi="Arial" w:cs="Arial"/>
          <w:sz w:val="24"/>
          <w:szCs w:val="24"/>
        </w:rPr>
        <w:t>iodine-containing ingestible products.</w:t>
      </w:r>
      <w:r w:rsidR="00761A72" w:rsidRPr="002369BD">
        <w:rPr>
          <w:rFonts w:ascii="Arial" w:hAnsi="Arial" w:cs="Arial"/>
          <w:sz w:val="24"/>
          <w:szCs w:val="24"/>
        </w:rPr>
        <w:t xml:space="preserve">  </w:t>
      </w:r>
      <w:r w:rsidR="003E4216" w:rsidRPr="002369BD">
        <w:rPr>
          <w:rFonts w:ascii="Arial" w:hAnsi="Arial" w:cs="Arial"/>
          <w:sz w:val="24"/>
          <w:szCs w:val="24"/>
        </w:rPr>
        <w:t xml:space="preserve">A simple practical method of confirming </w:t>
      </w:r>
      <w:r w:rsidR="00761A72" w:rsidRPr="002369BD">
        <w:rPr>
          <w:rFonts w:ascii="Arial" w:hAnsi="Arial" w:cs="Arial"/>
          <w:sz w:val="24"/>
          <w:szCs w:val="24"/>
        </w:rPr>
        <w:t xml:space="preserve">that </w:t>
      </w:r>
      <w:r w:rsidR="0020574E" w:rsidRPr="002369BD">
        <w:rPr>
          <w:rFonts w:ascii="Arial" w:hAnsi="Arial" w:cs="Arial"/>
          <w:sz w:val="24"/>
          <w:szCs w:val="24"/>
        </w:rPr>
        <w:t xml:space="preserve">a low-iodine diet </w:t>
      </w:r>
      <w:r w:rsidR="00761A72" w:rsidRPr="002369BD">
        <w:rPr>
          <w:rFonts w:ascii="Arial" w:hAnsi="Arial" w:cs="Arial"/>
          <w:sz w:val="24"/>
          <w:szCs w:val="24"/>
        </w:rPr>
        <w:t>has been followed</w:t>
      </w:r>
      <w:r w:rsidR="003E4216" w:rsidRPr="002369BD">
        <w:rPr>
          <w:rFonts w:ascii="Arial" w:hAnsi="Arial" w:cs="Arial"/>
          <w:sz w:val="24"/>
          <w:szCs w:val="24"/>
        </w:rPr>
        <w:t xml:space="preserve"> is by performing a random </w:t>
      </w:r>
      <w:r w:rsidR="00761A72" w:rsidRPr="002369BD">
        <w:rPr>
          <w:rFonts w:ascii="Arial" w:hAnsi="Arial" w:cs="Arial"/>
          <w:sz w:val="24"/>
          <w:szCs w:val="24"/>
        </w:rPr>
        <w:t xml:space="preserve">spot </w:t>
      </w:r>
      <w:r w:rsidR="00897502" w:rsidRPr="002369BD">
        <w:rPr>
          <w:rFonts w:ascii="Arial" w:hAnsi="Arial" w:cs="Arial"/>
          <w:sz w:val="24"/>
          <w:szCs w:val="24"/>
        </w:rPr>
        <w:t>urine iodine measurement</w:t>
      </w:r>
      <w:r w:rsidR="003E4216" w:rsidRPr="002369BD">
        <w:rPr>
          <w:rFonts w:ascii="Arial" w:hAnsi="Arial" w:cs="Arial"/>
          <w:sz w:val="24"/>
          <w:szCs w:val="24"/>
        </w:rPr>
        <w:t xml:space="preserve"> </w:t>
      </w:r>
      <w:r w:rsidR="003A5DB8" w:rsidRPr="002369BD">
        <w:rPr>
          <w:rFonts w:ascii="Arial" w:hAnsi="Arial" w:cs="Arial"/>
          <w:sz w:val="24"/>
          <w:szCs w:val="24"/>
        </w:rPr>
        <w:t xml:space="preserve">(US </w:t>
      </w:r>
      <w:r w:rsidR="003E4216" w:rsidRPr="002369BD">
        <w:rPr>
          <w:rFonts w:ascii="Arial" w:hAnsi="Arial" w:cs="Arial"/>
          <w:sz w:val="24"/>
          <w:szCs w:val="24"/>
        </w:rPr>
        <w:t xml:space="preserve">adult population reference range: 26–705 mcg/L).  A level &lt; 100 mcg/L is considered </w:t>
      </w:r>
      <w:r w:rsidR="003E4216" w:rsidRPr="002369BD">
        <w:rPr>
          <w:rFonts w:ascii="Arial" w:hAnsi="Arial" w:cs="Arial"/>
          <w:i/>
          <w:iCs/>
          <w:sz w:val="24"/>
          <w:szCs w:val="24"/>
        </w:rPr>
        <w:t>adequate</w:t>
      </w:r>
      <w:r w:rsidR="003E4216" w:rsidRPr="002369BD">
        <w:rPr>
          <w:rFonts w:ascii="Arial" w:hAnsi="Arial" w:cs="Arial"/>
          <w:sz w:val="24"/>
          <w:szCs w:val="24"/>
        </w:rPr>
        <w:t xml:space="preserve"> preparation, and &lt; 50 mcg/L is considered </w:t>
      </w:r>
      <w:r w:rsidR="003E4216" w:rsidRPr="002369BD">
        <w:rPr>
          <w:rFonts w:ascii="Arial" w:hAnsi="Arial" w:cs="Arial"/>
          <w:i/>
          <w:iCs/>
          <w:sz w:val="24"/>
          <w:szCs w:val="24"/>
        </w:rPr>
        <w:t>optimal</w:t>
      </w:r>
      <w:r w:rsidR="003E4216" w:rsidRPr="002369BD">
        <w:rPr>
          <w:rFonts w:ascii="Arial" w:hAnsi="Arial" w:cs="Arial"/>
          <w:sz w:val="24"/>
          <w:szCs w:val="24"/>
        </w:rPr>
        <w:t xml:space="preserve"> p</w:t>
      </w:r>
      <w:r w:rsidR="00FB20D2" w:rsidRPr="002369BD">
        <w:rPr>
          <w:rFonts w:ascii="Arial" w:hAnsi="Arial" w:cs="Arial"/>
          <w:sz w:val="24"/>
          <w:szCs w:val="24"/>
        </w:rPr>
        <w:t xml:space="preserve">reparation for </w:t>
      </w:r>
      <w:r w:rsidR="003E4216" w:rsidRPr="002369BD">
        <w:rPr>
          <w:rFonts w:ascii="Arial" w:hAnsi="Arial" w:cs="Arial"/>
          <w:sz w:val="24"/>
          <w:szCs w:val="24"/>
        </w:rPr>
        <w:t>RAI</w:t>
      </w:r>
      <w:r w:rsidR="00ED6A1C" w:rsidRPr="002369BD">
        <w:rPr>
          <w:rFonts w:ascii="Arial" w:hAnsi="Arial" w:cs="Arial"/>
          <w:sz w:val="24"/>
          <w:szCs w:val="24"/>
        </w:rPr>
        <w:t xml:space="preserve"> scintigraphy for DTC.  </w:t>
      </w:r>
      <w:r w:rsidR="00565CF8" w:rsidRPr="002369BD">
        <w:rPr>
          <w:rFonts w:ascii="Arial" w:hAnsi="Arial" w:cs="Arial"/>
          <w:sz w:val="24"/>
          <w:szCs w:val="24"/>
        </w:rPr>
        <w:t xml:space="preserve">A morning urine specimen provides the most </w:t>
      </w:r>
      <w:r w:rsidR="00ED6A1C" w:rsidRPr="002369BD">
        <w:rPr>
          <w:rFonts w:ascii="Arial" w:hAnsi="Arial" w:cs="Arial"/>
          <w:sz w:val="24"/>
          <w:szCs w:val="24"/>
        </w:rPr>
        <w:t>adequate evaluation</w:t>
      </w:r>
      <w:r w:rsidR="00565CF8" w:rsidRPr="002369BD">
        <w:rPr>
          <w:rFonts w:ascii="Arial" w:hAnsi="Arial" w:cs="Arial"/>
          <w:sz w:val="24"/>
          <w:szCs w:val="24"/>
        </w:rPr>
        <w:t xml:space="preserve"> </w:t>
      </w:r>
      <w:r w:rsidR="39022FE1" w:rsidRPr="002369BD">
        <w:rPr>
          <w:rFonts w:ascii="Arial" w:hAnsi="Arial" w:cs="Arial"/>
          <w:sz w:val="24"/>
          <w:szCs w:val="24"/>
        </w:rPr>
        <w:t>of recent dietary iodine intake.</w:t>
      </w:r>
    </w:p>
    <w:p w14:paraId="4E3A4FF0" w14:textId="4DB85767" w:rsidR="00A67E12" w:rsidRPr="002369BD" w:rsidRDefault="0020574E" w:rsidP="00232BDE">
      <w:pPr>
        <w:pStyle w:val="ListParagraph"/>
        <w:numPr>
          <w:ilvl w:val="0"/>
          <w:numId w:val="8"/>
        </w:numPr>
        <w:tabs>
          <w:tab w:val="left" w:pos="360"/>
          <w:tab w:val="left" w:pos="630"/>
        </w:tabs>
        <w:spacing w:after="0" w:line="360" w:lineRule="auto"/>
        <w:jc w:val="both"/>
        <w:rPr>
          <w:rFonts w:ascii="Arial" w:hAnsi="Arial" w:cs="Arial"/>
          <w:sz w:val="24"/>
          <w:szCs w:val="24"/>
        </w:rPr>
      </w:pPr>
      <w:r w:rsidRPr="002369BD">
        <w:rPr>
          <w:rFonts w:ascii="Arial" w:hAnsi="Arial" w:cs="Arial"/>
          <w:i/>
          <w:iCs/>
          <w:sz w:val="24"/>
          <w:szCs w:val="24"/>
        </w:rPr>
        <w:t>Intravenous (IV) contrast</w:t>
      </w:r>
      <w:r w:rsidRPr="002369BD">
        <w:rPr>
          <w:rFonts w:ascii="Arial" w:hAnsi="Arial" w:cs="Arial"/>
          <w:sz w:val="24"/>
          <w:szCs w:val="24"/>
        </w:rPr>
        <w:t xml:space="preserve">: </w:t>
      </w:r>
      <w:r w:rsidR="006116FC" w:rsidRPr="002369BD">
        <w:rPr>
          <w:rFonts w:ascii="Arial" w:hAnsi="Arial" w:cs="Arial"/>
          <w:sz w:val="24"/>
          <w:szCs w:val="24"/>
        </w:rPr>
        <w:t xml:space="preserve">Water-soluble iodinated IV contrast </w:t>
      </w:r>
      <w:r w:rsidR="006A313A" w:rsidRPr="002369BD">
        <w:rPr>
          <w:rFonts w:ascii="Arial" w:hAnsi="Arial" w:cs="Arial"/>
          <w:sz w:val="24"/>
          <w:szCs w:val="24"/>
        </w:rPr>
        <w:t>must be avoided for 3-</w:t>
      </w:r>
      <w:r w:rsidR="003E5F0C" w:rsidRPr="002369BD">
        <w:rPr>
          <w:rFonts w:ascii="Arial" w:hAnsi="Arial" w:cs="Arial"/>
          <w:sz w:val="24"/>
          <w:szCs w:val="24"/>
        </w:rPr>
        <w:t>4 weeks</w:t>
      </w:r>
      <w:r w:rsidR="003F7CC9" w:rsidRPr="002369BD">
        <w:rPr>
          <w:rFonts w:ascii="Arial" w:hAnsi="Arial" w:cs="Arial"/>
          <w:sz w:val="24"/>
          <w:szCs w:val="24"/>
        </w:rPr>
        <w:t xml:space="preserve"> prior to </w:t>
      </w:r>
      <w:r w:rsidR="00FB20D2" w:rsidRPr="002369BD">
        <w:rPr>
          <w:rFonts w:ascii="Arial" w:hAnsi="Arial" w:cs="Arial"/>
          <w:sz w:val="24"/>
          <w:szCs w:val="24"/>
        </w:rPr>
        <w:t>RAI</w:t>
      </w:r>
      <w:r w:rsidR="003F7CC9" w:rsidRPr="002369BD">
        <w:rPr>
          <w:rFonts w:ascii="Arial" w:hAnsi="Arial" w:cs="Arial"/>
          <w:sz w:val="24"/>
          <w:szCs w:val="24"/>
        </w:rPr>
        <w:t xml:space="preserve"> administration.</w:t>
      </w:r>
    </w:p>
    <w:p w14:paraId="016B1AFD" w14:textId="008A2483" w:rsidR="00A67E12" w:rsidRPr="002369BD" w:rsidRDefault="00A67E12" w:rsidP="0066161D">
      <w:pPr>
        <w:tabs>
          <w:tab w:val="left" w:pos="360"/>
          <w:tab w:val="left" w:pos="630"/>
        </w:tabs>
        <w:spacing w:after="0" w:line="360" w:lineRule="auto"/>
        <w:jc w:val="both"/>
        <w:rPr>
          <w:rFonts w:ascii="Arial" w:hAnsi="Arial" w:cs="Arial"/>
          <w:sz w:val="24"/>
          <w:szCs w:val="24"/>
        </w:rPr>
      </w:pPr>
    </w:p>
    <w:p w14:paraId="3B6E2249" w14:textId="5B45819C" w:rsidR="001F7235" w:rsidRPr="002369BD" w:rsidRDefault="0066161D" w:rsidP="002369BD">
      <w:pPr>
        <w:pStyle w:val="ListParagraph"/>
        <w:tabs>
          <w:tab w:val="left" w:pos="360"/>
        </w:tabs>
        <w:spacing w:after="0" w:line="360" w:lineRule="auto"/>
        <w:ind w:left="0"/>
        <w:rPr>
          <w:rFonts w:ascii="Arial" w:hAnsi="Arial" w:cs="Arial"/>
          <w:sz w:val="24"/>
          <w:szCs w:val="24"/>
        </w:rPr>
      </w:pPr>
      <w:r w:rsidRPr="002369BD">
        <w:rPr>
          <w:rFonts w:ascii="Arial" w:hAnsi="Arial" w:cs="Arial"/>
          <w:sz w:val="24"/>
          <w:szCs w:val="24"/>
        </w:rPr>
        <w:tab/>
      </w:r>
      <w:r w:rsidR="00DC7ECE" w:rsidRPr="002369BD">
        <w:rPr>
          <w:rFonts w:ascii="Arial" w:hAnsi="Arial" w:cs="Arial"/>
          <w:sz w:val="24"/>
          <w:szCs w:val="24"/>
          <w:u w:val="single"/>
        </w:rPr>
        <w:t>Optimize TSH levels</w:t>
      </w:r>
      <w:r w:rsidR="00E37353" w:rsidRPr="002369BD">
        <w:rPr>
          <w:rFonts w:ascii="Arial" w:hAnsi="Arial" w:cs="Arial"/>
          <w:sz w:val="24"/>
          <w:szCs w:val="24"/>
        </w:rPr>
        <w:t>:</w:t>
      </w:r>
      <w:r w:rsidR="000D3496" w:rsidRPr="002369BD">
        <w:rPr>
          <w:rFonts w:ascii="Arial" w:hAnsi="Arial" w:cs="Arial"/>
          <w:sz w:val="24"/>
          <w:szCs w:val="24"/>
        </w:rPr>
        <w:t xml:space="preserve"> </w:t>
      </w:r>
      <w:r w:rsidR="002066B4" w:rsidRPr="002369BD">
        <w:rPr>
          <w:rFonts w:ascii="Arial" w:hAnsi="Arial" w:cs="Arial"/>
          <w:sz w:val="24"/>
          <w:szCs w:val="24"/>
        </w:rPr>
        <w:t>Appropriately elevated</w:t>
      </w:r>
      <w:r w:rsidR="006A313A" w:rsidRPr="002369BD">
        <w:rPr>
          <w:rFonts w:ascii="Arial" w:hAnsi="Arial" w:cs="Arial"/>
          <w:sz w:val="24"/>
          <w:szCs w:val="24"/>
        </w:rPr>
        <w:t xml:space="preserve"> TSH levels at the time of postoperative RAI scintigraphic evaluation and therapeutic 131I </w:t>
      </w:r>
      <w:r w:rsidR="007E2B38" w:rsidRPr="002369BD">
        <w:rPr>
          <w:rFonts w:ascii="Arial" w:hAnsi="Arial" w:cs="Arial"/>
          <w:sz w:val="24"/>
          <w:szCs w:val="24"/>
        </w:rPr>
        <w:t xml:space="preserve">NaI </w:t>
      </w:r>
      <w:r w:rsidR="006A313A" w:rsidRPr="002369BD">
        <w:rPr>
          <w:rFonts w:ascii="Arial" w:hAnsi="Arial" w:cs="Arial"/>
          <w:sz w:val="24"/>
          <w:szCs w:val="24"/>
        </w:rPr>
        <w:t xml:space="preserve">administration are required for increasing the </w:t>
      </w:r>
      <w:r w:rsidR="00AA496C">
        <w:rPr>
          <w:rFonts w:ascii="Arial" w:hAnsi="Arial" w:cs="Arial"/>
          <w:sz w:val="24"/>
          <w:szCs w:val="24"/>
        </w:rPr>
        <w:t>NIS</w:t>
      </w:r>
      <w:r w:rsidR="006A313A" w:rsidRPr="002369BD">
        <w:rPr>
          <w:rFonts w:ascii="Arial" w:hAnsi="Arial" w:cs="Arial"/>
          <w:sz w:val="24"/>
          <w:szCs w:val="24"/>
        </w:rPr>
        <w:t xml:space="preserve"> expression in metastatic lesions (and residual thyroid tissue) resulting in increased diagnostic sensitivity of RAI scintigraphy and increased radiation </w:t>
      </w:r>
      <w:r w:rsidR="006A313A" w:rsidRPr="002369BD">
        <w:rPr>
          <w:rFonts w:ascii="Arial" w:hAnsi="Arial" w:cs="Arial"/>
          <w:sz w:val="24"/>
          <w:szCs w:val="24"/>
        </w:rPr>
        <w:lastRenderedPageBreak/>
        <w:t xml:space="preserve">absorbed dose to target lesions. </w:t>
      </w:r>
      <w:r w:rsidR="00897502" w:rsidRPr="002369BD">
        <w:rPr>
          <w:rFonts w:ascii="Arial" w:hAnsi="Arial" w:cs="Arial"/>
          <w:sz w:val="24"/>
          <w:szCs w:val="24"/>
        </w:rPr>
        <w:t xml:space="preserve">TSH levels </w:t>
      </w:r>
      <w:r w:rsidR="006A313A" w:rsidRPr="002369BD">
        <w:rPr>
          <w:rFonts w:ascii="Arial" w:hAnsi="Arial" w:cs="Arial"/>
          <w:sz w:val="24"/>
          <w:szCs w:val="24"/>
        </w:rPr>
        <w:t xml:space="preserve">≥ </w:t>
      </w:r>
      <w:r w:rsidR="00897502" w:rsidRPr="002369BD">
        <w:rPr>
          <w:rFonts w:ascii="Arial" w:hAnsi="Arial" w:cs="Arial"/>
          <w:sz w:val="24"/>
          <w:szCs w:val="24"/>
        </w:rPr>
        <w:t xml:space="preserve">30 </w:t>
      </w:r>
      <w:proofErr w:type="spellStart"/>
      <w:r w:rsidR="00897502" w:rsidRPr="002369BD">
        <w:rPr>
          <w:rFonts w:ascii="Arial" w:hAnsi="Arial" w:cs="Arial"/>
          <w:sz w:val="24"/>
          <w:szCs w:val="24"/>
        </w:rPr>
        <w:t>mIU</w:t>
      </w:r>
      <w:proofErr w:type="spellEnd"/>
      <w:r w:rsidR="00897502" w:rsidRPr="002369BD">
        <w:rPr>
          <w:rFonts w:ascii="Arial" w:hAnsi="Arial" w:cs="Arial"/>
          <w:sz w:val="24"/>
          <w:szCs w:val="24"/>
        </w:rPr>
        <w:t xml:space="preserve">/L </w:t>
      </w:r>
      <w:r w:rsidR="00B62ABC" w:rsidRPr="002369BD">
        <w:rPr>
          <w:rFonts w:ascii="Arial" w:hAnsi="Arial" w:cs="Arial"/>
          <w:sz w:val="24"/>
          <w:szCs w:val="24"/>
        </w:rPr>
        <w:t>(measured 1-3 d</w:t>
      </w:r>
      <w:r w:rsidR="007E0AD8" w:rsidRPr="002369BD">
        <w:rPr>
          <w:rFonts w:ascii="Arial" w:hAnsi="Arial" w:cs="Arial"/>
          <w:sz w:val="24"/>
          <w:szCs w:val="24"/>
        </w:rPr>
        <w:t>ays</w:t>
      </w:r>
      <w:r w:rsidR="00B62ABC" w:rsidRPr="002369BD">
        <w:rPr>
          <w:rFonts w:ascii="Arial" w:hAnsi="Arial" w:cs="Arial"/>
          <w:sz w:val="24"/>
          <w:szCs w:val="24"/>
        </w:rPr>
        <w:t xml:space="preserve"> prior to </w:t>
      </w:r>
      <w:r w:rsidR="00FB20D2" w:rsidRPr="002369BD">
        <w:rPr>
          <w:rFonts w:ascii="Arial" w:hAnsi="Arial" w:cs="Arial"/>
          <w:sz w:val="24"/>
          <w:szCs w:val="24"/>
        </w:rPr>
        <w:t>RAI</w:t>
      </w:r>
      <w:r w:rsidR="00B62ABC" w:rsidRPr="002369BD">
        <w:rPr>
          <w:rFonts w:ascii="Arial" w:hAnsi="Arial" w:cs="Arial"/>
          <w:sz w:val="24"/>
          <w:szCs w:val="24"/>
        </w:rPr>
        <w:t xml:space="preserve"> administration)</w:t>
      </w:r>
      <w:r w:rsidR="006A313A" w:rsidRPr="002369BD">
        <w:rPr>
          <w:rFonts w:ascii="Arial" w:hAnsi="Arial" w:cs="Arial"/>
          <w:sz w:val="24"/>
          <w:szCs w:val="24"/>
        </w:rPr>
        <w:t xml:space="preserve"> are considered adequate and can be achieved by either</w:t>
      </w:r>
      <w:r w:rsidRPr="002369BD">
        <w:rPr>
          <w:rFonts w:ascii="Arial" w:hAnsi="Arial" w:cs="Arial"/>
          <w:sz w:val="24"/>
          <w:szCs w:val="24"/>
        </w:rPr>
        <w:t xml:space="preserve"> a</w:t>
      </w:r>
      <w:r w:rsidR="006A313A" w:rsidRPr="002369BD">
        <w:rPr>
          <w:rFonts w:ascii="Arial" w:hAnsi="Arial" w:cs="Arial"/>
          <w:sz w:val="24"/>
          <w:szCs w:val="24"/>
        </w:rPr>
        <w:t xml:space="preserve"> </w:t>
      </w:r>
      <w:r w:rsidR="00B62728" w:rsidRPr="002369BD">
        <w:rPr>
          <w:rFonts w:ascii="Arial" w:hAnsi="Arial" w:cs="Arial"/>
          <w:sz w:val="24"/>
          <w:szCs w:val="24"/>
        </w:rPr>
        <w:t>thyroid hormone withdrawal (THW</w:t>
      </w:r>
      <w:r w:rsidR="005C7626">
        <w:rPr>
          <w:rFonts w:ascii="Arial" w:hAnsi="Arial" w:cs="Arial"/>
          <w:sz w:val="24"/>
          <w:szCs w:val="24"/>
        </w:rPr>
        <w:t>;</w:t>
      </w:r>
      <w:r w:rsidR="00B62728" w:rsidRPr="002369BD">
        <w:rPr>
          <w:rFonts w:ascii="Arial" w:hAnsi="Arial" w:cs="Arial"/>
          <w:sz w:val="24"/>
          <w:szCs w:val="24"/>
        </w:rPr>
        <w:t xml:space="preserve">(hypothyroid status) or </w:t>
      </w:r>
      <w:r w:rsidR="00B3432B" w:rsidRPr="002369BD">
        <w:rPr>
          <w:rFonts w:ascii="Arial" w:hAnsi="Arial" w:cs="Arial"/>
          <w:sz w:val="24"/>
          <w:szCs w:val="24"/>
        </w:rPr>
        <w:t>recombinant human TSH (</w:t>
      </w:r>
      <w:proofErr w:type="spellStart"/>
      <w:r w:rsidR="00B62728" w:rsidRPr="002369BD">
        <w:rPr>
          <w:rFonts w:ascii="Arial" w:hAnsi="Arial" w:cs="Arial"/>
          <w:sz w:val="24"/>
          <w:szCs w:val="24"/>
        </w:rPr>
        <w:t>rhTSH</w:t>
      </w:r>
      <w:proofErr w:type="spellEnd"/>
      <w:r w:rsidR="00B62728" w:rsidRPr="002369BD">
        <w:rPr>
          <w:rFonts w:ascii="Arial" w:hAnsi="Arial" w:cs="Arial"/>
          <w:sz w:val="24"/>
          <w:szCs w:val="24"/>
        </w:rPr>
        <w:t xml:space="preserve">) stimulation during </w:t>
      </w:r>
      <w:r w:rsidRPr="002369BD">
        <w:rPr>
          <w:rFonts w:ascii="Arial" w:hAnsi="Arial" w:cs="Arial"/>
          <w:sz w:val="24"/>
          <w:szCs w:val="24"/>
        </w:rPr>
        <w:t>levothyroxine (</w:t>
      </w:r>
      <w:r w:rsidR="002066B4" w:rsidRPr="002369BD">
        <w:rPr>
          <w:rFonts w:ascii="Arial" w:hAnsi="Arial" w:cs="Arial"/>
          <w:sz w:val="24"/>
          <w:szCs w:val="24"/>
        </w:rPr>
        <w:t>L-</w:t>
      </w:r>
      <w:r w:rsidR="00B62728" w:rsidRPr="002369BD">
        <w:rPr>
          <w:rFonts w:ascii="Arial" w:hAnsi="Arial" w:cs="Arial"/>
          <w:sz w:val="24"/>
          <w:szCs w:val="24"/>
        </w:rPr>
        <w:t>T4</w:t>
      </w:r>
      <w:r w:rsidRPr="002369BD">
        <w:rPr>
          <w:rFonts w:ascii="Arial" w:hAnsi="Arial" w:cs="Arial"/>
          <w:sz w:val="24"/>
          <w:szCs w:val="24"/>
        </w:rPr>
        <w:t>)</w:t>
      </w:r>
      <w:r w:rsidR="00B62728" w:rsidRPr="002369BD">
        <w:rPr>
          <w:rFonts w:ascii="Arial" w:hAnsi="Arial" w:cs="Arial"/>
          <w:sz w:val="24"/>
          <w:szCs w:val="24"/>
        </w:rPr>
        <w:t xml:space="preserve"> therapy (euthyroid status)</w:t>
      </w:r>
      <w:r w:rsidRPr="002369BD">
        <w:rPr>
          <w:rFonts w:ascii="Arial" w:hAnsi="Arial" w:cs="Arial"/>
          <w:sz w:val="24"/>
          <w:szCs w:val="24"/>
        </w:rPr>
        <w:t>.</w:t>
      </w:r>
    </w:p>
    <w:p w14:paraId="5EA3A34A" w14:textId="7284FF45" w:rsidR="001F7235" w:rsidRPr="002369BD" w:rsidRDefault="001F7235" w:rsidP="00232BDE">
      <w:pPr>
        <w:pStyle w:val="ListParagraph"/>
        <w:numPr>
          <w:ilvl w:val="0"/>
          <w:numId w:val="9"/>
        </w:numPr>
        <w:tabs>
          <w:tab w:val="left" w:pos="360"/>
          <w:tab w:val="left" w:pos="630"/>
        </w:tabs>
        <w:spacing w:after="0" w:line="360" w:lineRule="auto"/>
        <w:jc w:val="both"/>
        <w:rPr>
          <w:rFonts w:ascii="Arial" w:hAnsi="Arial" w:cs="Arial"/>
          <w:sz w:val="24"/>
          <w:szCs w:val="24"/>
        </w:rPr>
      </w:pPr>
      <w:r w:rsidRPr="00FE6D7B">
        <w:rPr>
          <w:rFonts w:ascii="Arial" w:hAnsi="Arial" w:cs="Arial"/>
          <w:i/>
          <w:iCs/>
          <w:sz w:val="24"/>
          <w:szCs w:val="24"/>
        </w:rPr>
        <w:t xml:space="preserve">THW: </w:t>
      </w:r>
      <w:r w:rsidRPr="00FE6D7B">
        <w:rPr>
          <w:rFonts w:ascii="Arial" w:hAnsi="Arial" w:cs="Arial"/>
          <w:iCs/>
          <w:sz w:val="24"/>
          <w:szCs w:val="24"/>
        </w:rPr>
        <w:t>This consists of L-</w:t>
      </w:r>
      <w:r w:rsidRPr="00FE6D7B">
        <w:rPr>
          <w:rFonts w:ascii="Arial" w:hAnsi="Arial" w:cs="Arial"/>
          <w:color w:val="000000"/>
          <w:sz w:val="24"/>
          <w:szCs w:val="24"/>
          <w:lang w:val="en"/>
        </w:rPr>
        <w:t>T4 deprivation for 4 weeks or triiodothyronine (T3) treatment for 4 weeks with subsequent T3 discontinuation for 2 weeks prior to RAI scintigraphy.</w:t>
      </w:r>
    </w:p>
    <w:p w14:paraId="12170A19" w14:textId="08AA49FC" w:rsidR="00B62ABC" w:rsidRPr="002369BD" w:rsidRDefault="00F757E2" w:rsidP="00232BDE">
      <w:pPr>
        <w:pStyle w:val="ListParagraph"/>
        <w:numPr>
          <w:ilvl w:val="0"/>
          <w:numId w:val="9"/>
        </w:numPr>
        <w:tabs>
          <w:tab w:val="left" w:pos="360"/>
          <w:tab w:val="left" w:pos="630"/>
        </w:tabs>
        <w:spacing w:after="0" w:line="360" w:lineRule="auto"/>
        <w:jc w:val="both"/>
        <w:rPr>
          <w:rFonts w:ascii="Arial" w:hAnsi="Arial" w:cs="Arial"/>
          <w:sz w:val="24"/>
          <w:szCs w:val="24"/>
        </w:rPr>
      </w:pPr>
      <w:proofErr w:type="spellStart"/>
      <w:r w:rsidRPr="002369BD">
        <w:rPr>
          <w:rFonts w:ascii="Arial" w:hAnsi="Arial" w:cs="Arial"/>
          <w:i/>
          <w:iCs/>
          <w:sz w:val="24"/>
          <w:szCs w:val="24"/>
        </w:rPr>
        <w:t>rhTSH</w:t>
      </w:r>
      <w:proofErr w:type="spellEnd"/>
      <w:r w:rsidR="00B62728" w:rsidRPr="002369BD">
        <w:rPr>
          <w:rFonts w:ascii="Arial" w:hAnsi="Arial" w:cs="Arial"/>
          <w:i/>
          <w:iCs/>
          <w:sz w:val="24"/>
          <w:szCs w:val="24"/>
        </w:rPr>
        <w:t xml:space="preserve"> stimulation</w:t>
      </w:r>
      <w:r w:rsidR="00B3432B" w:rsidRPr="002369BD">
        <w:rPr>
          <w:rFonts w:ascii="Arial" w:hAnsi="Arial" w:cs="Arial"/>
          <w:i/>
          <w:iCs/>
          <w:sz w:val="24"/>
          <w:szCs w:val="24"/>
        </w:rPr>
        <w:t xml:space="preserve">: </w:t>
      </w:r>
      <w:r w:rsidR="00B3432B" w:rsidRPr="002369BD">
        <w:rPr>
          <w:rFonts w:ascii="Arial" w:hAnsi="Arial" w:cs="Arial"/>
          <w:iCs/>
          <w:sz w:val="24"/>
          <w:szCs w:val="24"/>
        </w:rPr>
        <w:t>This</w:t>
      </w:r>
      <w:r w:rsidR="00B62728" w:rsidRPr="002369BD">
        <w:rPr>
          <w:rFonts w:ascii="Arial" w:hAnsi="Arial" w:cs="Arial"/>
          <w:i/>
          <w:iCs/>
          <w:sz w:val="24"/>
          <w:szCs w:val="24"/>
        </w:rPr>
        <w:t xml:space="preserve"> </w:t>
      </w:r>
      <w:r w:rsidR="00B62728" w:rsidRPr="002369BD">
        <w:rPr>
          <w:rFonts w:ascii="Arial" w:hAnsi="Arial" w:cs="Arial"/>
          <w:iCs/>
          <w:sz w:val="24"/>
          <w:szCs w:val="24"/>
        </w:rPr>
        <w:t xml:space="preserve">consists of </w:t>
      </w:r>
      <w:r w:rsidR="006C4AE6" w:rsidRPr="002369BD">
        <w:rPr>
          <w:rFonts w:ascii="Arial" w:hAnsi="Arial" w:cs="Arial"/>
          <w:sz w:val="24"/>
          <w:szCs w:val="24"/>
        </w:rPr>
        <w:t xml:space="preserve">administration </w:t>
      </w:r>
      <w:r w:rsidR="00897502" w:rsidRPr="002369BD">
        <w:rPr>
          <w:rFonts w:ascii="Arial" w:hAnsi="Arial" w:cs="Arial"/>
          <w:sz w:val="24"/>
          <w:szCs w:val="24"/>
        </w:rPr>
        <w:t>o</w:t>
      </w:r>
      <w:r w:rsidR="00E34EF6" w:rsidRPr="002369BD">
        <w:rPr>
          <w:rFonts w:ascii="Arial" w:hAnsi="Arial" w:cs="Arial"/>
          <w:sz w:val="24"/>
          <w:szCs w:val="24"/>
        </w:rPr>
        <w:t xml:space="preserve">f </w:t>
      </w:r>
      <w:proofErr w:type="spellStart"/>
      <w:r w:rsidR="00E34EF6" w:rsidRPr="002369BD">
        <w:rPr>
          <w:rFonts w:ascii="Arial" w:hAnsi="Arial" w:cs="Arial"/>
          <w:sz w:val="24"/>
          <w:szCs w:val="24"/>
        </w:rPr>
        <w:t>rhTSH</w:t>
      </w:r>
      <w:proofErr w:type="spellEnd"/>
      <w:r w:rsidR="00897502" w:rsidRPr="002369BD">
        <w:rPr>
          <w:rFonts w:ascii="Arial" w:hAnsi="Arial" w:cs="Arial"/>
          <w:sz w:val="24"/>
          <w:szCs w:val="24"/>
        </w:rPr>
        <w:t xml:space="preserve"> given as two</w:t>
      </w:r>
      <w:r w:rsidR="0020574E" w:rsidRPr="002369BD">
        <w:rPr>
          <w:rFonts w:ascii="Arial" w:hAnsi="Arial" w:cs="Arial"/>
          <w:sz w:val="24"/>
          <w:szCs w:val="24"/>
        </w:rPr>
        <w:t xml:space="preserve"> intramuscular</w:t>
      </w:r>
      <w:r w:rsidR="00897502" w:rsidRPr="002369BD">
        <w:rPr>
          <w:rFonts w:ascii="Arial" w:hAnsi="Arial" w:cs="Arial"/>
          <w:sz w:val="24"/>
          <w:szCs w:val="24"/>
        </w:rPr>
        <w:t xml:space="preserve"> </w:t>
      </w:r>
      <w:r w:rsidR="0020574E" w:rsidRPr="002369BD">
        <w:rPr>
          <w:rFonts w:ascii="Arial" w:hAnsi="Arial" w:cs="Arial"/>
          <w:sz w:val="24"/>
          <w:szCs w:val="24"/>
        </w:rPr>
        <w:t>(</w:t>
      </w:r>
      <w:r w:rsidR="00165813" w:rsidRPr="002369BD">
        <w:rPr>
          <w:rFonts w:ascii="Arial" w:hAnsi="Arial" w:cs="Arial"/>
          <w:sz w:val="24"/>
          <w:szCs w:val="24"/>
        </w:rPr>
        <w:t>IM</w:t>
      </w:r>
      <w:r w:rsidR="0020574E" w:rsidRPr="002369BD">
        <w:rPr>
          <w:rFonts w:ascii="Arial" w:hAnsi="Arial" w:cs="Arial"/>
          <w:sz w:val="24"/>
          <w:szCs w:val="24"/>
        </w:rPr>
        <w:t>)</w:t>
      </w:r>
      <w:r w:rsidR="00165813" w:rsidRPr="002369BD">
        <w:rPr>
          <w:rFonts w:ascii="Arial" w:hAnsi="Arial" w:cs="Arial"/>
          <w:sz w:val="24"/>
          <w:szCs w:val="24"/>
        </w:rPr>
        <w:t xml:space="preserve"> </w:t>
      </w:r>
      <w:r w:rsidR="00897502" w:rsidRPr="002369BD">
        <w:rPr>
          <w:rFonts w:ascii="Arial" w:hAnsi="Arial" w:cs="Arial"/>
          <w:sz w:val="24"/>
          <w:szCs w:val="24"/>
        </w:rPr>
        <w:t xml:space="preserve">injections of 0.9 mg on each of two consecutive days with </w:t>
      </w:r>
      <w:r w:rsidR="007E2B38" w:rsidRPr="002369BD">
        <w:rPr>
          <w:rFonts w:ascii="Arial" w:hAnsi="Arial" w:cs="Arial"/>
          <w:sz w:val="24"/>
          <w:szCs w:val="24"/>
        </w:rPr>
        <w:t>RAI</w:t>
      </w:r>
      <w:r w:rsidR="00165813" w:rsidRPr="002369BD">
        <w:rPr>
          <w:rFonts w:ascii="Arial" w:hAnsi="Arial" w:cs="Arial"/>
          <w:sz w:val="24"/>
          <w:szCs w:val="24"/>
        </w:rPr>
        <w:t xml:space="preserve"> </w:t>
      </w:r>
      <w:r w:rsidR="00C779FF" w:rsidRPr="002369BD">
        <w:rPr>
          <w:rFonts w:ascii="Arial" w:hAnsi="Arial" w:cs="Arial"/>
          <w:sz w:val="24"/>
          <w:szCs w:val="24"/>
        </w:rPr>
        <w:t xml:space="preserve">or </w:t>
      </w:r>
      <w:r w:rsidR="006E1E7F" w:rsidRPr="002369BD">
        <w:rPr>
          <w:rFonts w:ascii="Arial" w:hAnsi="Arial" w:cs="Arial"/>
          <w:sz w:val="24"/>
          <w:szCs w:val="24"/>
        </w:rPr>
        <w:t xml:space="preserve">FDG </w:t>
      </w:r>
      <w:r w:rsidR="00897502" w:rsidRPr="002369BD">
        <w:rPr>
          <w:rFonts w:ascii="Arial" w:hAnsi="Arial" w:cs="Arial"/>
          <w:sz w:val="24"/>
          <w:szCs w:val="24"/>
        </w:rPr>
        <w:t>given the next day</w:t>
      </w:r>
      <w:r w:rsidR="00A53560" w:rsidRPr="002369BD">
        <w:rPr>
          <w:rFonts w:ascii="Arial" w:hAnsi="Arial" w:cs="Arial"/>
          <w:sz w:val="24"/>
          <w:szCs w:val="24"/>
        </w:rPr>
        <w:t>.</w:t>
      </w:r>
      <w:r w:rsidR="00E47075" w:rsidRPr="002369BD">
        <w:rPr>
          <w:rFonts w:ascii="Arial" w:hAnsi="Arial" w:cs="Arial"/>
          <w:sz w:val="24"/>
          <w:szCs w:val="24"/>
        </w:rPr>
        <w:t xml:space="preserve"> </w:t>
      </w:r>
      <w:r w:rsidR="00DC7601" w:rsidRPr="002369BD">
        <w:rPr>
          <w:rFonts w:ascii="Arial" w:hAnsi="Arial" w:cs="Arial"/>
          <w:sz w:val="24"/>
          <w:szCs w:val="24"/>
        </w:rPr>
        <w:t xml:space="preserve"> </w:t>
      </w:r>
      <w:proofErr w:type="spellStart"/>
      <w:r w:rsidR="00DC7601" w:rsidRPr="002369BD">
        <w:rPr>
          <w:rFonts w:ascii="Arial" w:hAnsi="Arial" w:cs="Arial"/>
          <w:sz w:val="24"/>
          <w:szCs w:val="24"/>
        </w:rPr>
        <w:t>rhTSH</w:t>
      </w:r>
      <w:proofErr w:type="spellEnd"/>
      <w:r w:rsidR="00DC7601" w:rsidRPr="002369BD">
        <w:rPr>
          <w:rFonts w:ascii="Arial" w:hAnsi="Arial" w:cs="Arial"/>
          <w:sz w:val="24"/>
          <w:szCs w:val="24"/>
        </w:rPr>
        <w:t xml:space="preserve"> </w:t>
      </w:r>
      <w:r w:rsidR="0020574E" w:rsidRPr="002369BD">
        <w:rPr>
          <w:rFonts w:ascii="Arial" w:hAnsi="Arial" w:cs="Arial"/>
          <w:sz w:val="24"/>
          <w:szCs w:val="24"/>
        </w:rPr>
        <w:t>may</w:t>
      </w:r>
      <w:r w:rsidR="00DC7601" w:rsidRPr="002369BD">
        <w:rPr>
          <w:rFonts w:ascii="Arial" w:hAnsi="Arial" w:cs="Arial"/>
          <w:sz w:val="24"/>
          <w:szCs w:val="24"/>
        </w:rPr>
        <w:t xml:space="preserve"> be required if the patient cannot be prepared by near-total thyroidectomy, </w:t>
      </w:r>
      <w:r w:rsidR="00DD5764" w:rsidRPr="002369BD">
        <w:rPr>
          <w:rFonts w:ascii="Arial" w:hAnsi="Arial" w:cs="Arial"/>
          <w:sz w:val="24"/>
          <w:szCs w:val="24"/>
        </w:rPr>
        <w:t xml:space="preserve">in patients with significant comorbidities in whom prolonged hypothyroidism would represent a risk or cannot be tolerated, in patients </w:t>
      </w:r>
      <w:r w:rsidR="00DC7601" w:rsidRPr="002369BD">
        <w:rPr>
          <w:rFonts w:ascii="Arial" w:hAnsi="Arial" w:cs="Arial"/>
          <w:sz w:val="24"/>
          <w:szCs w:val="24"/>
        </w:rPr>
        <w:t>with pituitary insufficiency</w:t>
      </w:r>
      <w:r w:rsidR="00F0038A" w:rsidRPr="002369BD">
        <w:rPr>
          <w:rFonts w:ascii="Arial" w:hAnsi="Arial" w:cs="Arial"/>
          <w:sz w:val="24"/>
          <w:szCs w:val="24"/>
        </w:rPr>
        <w:t>,</w:t>
      </w:r>
      <w:r w:rsidR="00DC7601" w:rsidRPr="002369BD">
        <w:rPr>
          <w:rFonts w:ascii="Arial" w:hAnsi="Arial" w:cs="Arial"/>
          <w:sz w:val="24"/>
          <w:szCs w:val="24"/>
        </w:rPr>
        <w:t xml:space="preserve"> or</w:t>
      </w:r>
      <w:r w:rsidR="0022447A" w:rsidRPr="002369BD">
        <w:rPr>
          <w:rFonts w:ascii="Arial" w:hAnsi="Arial" w:cs="Arial"/>
          <w:sz w:val="24"/>
          <w:szCs w:val="24"/>
        </w:rPr>
        <w:t xml:space="preserve"> those with</w:t>
      </w:r>
      <w:r w:rsidR="00DC7601" w:rsidRPr="002369BD">
        <w:rPr>
          <w:rFonts w:ascii="Arial" w:hAnsi="Arial" w:cs="Arial"/>
          <w:sz w:val="24"/>
          <w:szCs w:val="24"/>
        </w:rPr>
        <w:t xml:space="preserve"> isolated TSH deficiency.  </w:t>
      </w:r>
      <w:r w:rsidR="00E20E8A" w:rsidRPr="002369BD">
        <w:rPr>
          <w:rFonts w:ascii="Arial" w:hAnsi="Arial" w:cs="Arial"/>
          <w:sz w:val="24"/>
          <w:szCs w:val="24"/>
        </w:rPr>
        <w:t xml:space="preserve"> </w:t>
      </w:r>
    </w:p>
    <w:p w14:paraId="45145E5F" w14:textId="5BEBC22B" w:rsidR="001741B8" w:rsidRPr="002369BD" w:rsidRDefault="00DC7601" w:rsidP="00232BDE">
      <w:pPr>
        <w:pStyle w:val="ListParagraph"/>
        <w:numPr>
          <w:ilvl w:val="0"/>
          <w:numId w:val="9"/>
        </w:numPr>
        <w:tabs>
          <w:tab w:val="left" w:pos="360"/>
          <w:tab w:val="left" w:pos="630"/>
        </w:tabs>
        <w:spacing w:after="0" w:line="360" w:lineRule="auto"/>
        <w:jc w:val="both"/>
        <w:rPr>
          <w:rFonts w:ascii="Arial" w:hAnsi="Arial" w:cs="Arial"/>
          <w:sz w:val="24"/>
          <w:szCs w:val="24"/>
        </w:rPr>
      </w:pPr>
      <w:r w:rsidRPr="002369BD">
        <w:rPr>
          <w:rFonts w:ascii="Arial" w:hAnsi="Arial" w:cs="Arial"/>
          <w:i/>
          <w:iCs/>
          <w:sz w:val="24"/>
          <w:szCs w:val="24"/>
        </w:rPr>
        <w:t xml:space="preserve">Side effects: </w:t>
      </w:r>
      <w:r w:rsidR="00897502" w:rsidRPr="002369BD">
        <w:rPr>
          <w:rFonts w:ascii="Arial" w:hAnsi="Arial" w:cs="Arial"/>
          <w:sz w:val="24"/>
          <w:szCs w:val="24"/>
        </w:rPr>
        <w:t>The patient should be informed</w:t>
      </w:r>
      <w:r w:rsidR="006B5B2A" w:rsidRPr="002369BD">
        <w:rPr>
          <w:rFonts w:ascii="Arial" w:hAnsi="Arial" w:cs="Arial"/>
          <w:sz w:val="24"/>
          <w:szCs w:val="24"/>
        </w:rPr>
        <w:t xml:space="preserve"> </w:t>
      </w:r>
      <w:r w:rsidR="00897502" w:rsidRPr="002369BD">
        <w:rPr>
          <w:rFonts w:ascii="Arial" w:hAnsi="Arial" w:cs="Arial"/>
          <w:sz w:val="24"/>
          <w:szCs w:val="24"/>
        </w:rPr>
        <w:t xml:space="preserve">of the potential side effects of </w:t>
      </w:r>
      <w:proofErr w:type="spellStart"/>
      <w:r w:rsidR="00897502" w:rsidRPr="002369BD">
        <w:rPr>
          <w:rFonts w:ascii="Arial" w:hAnsi="Arial" w:cs="Arial"/>
          <w:sz w:val="24"/>
          <w:szCs w:val="24"/>
        </w:rPr>
        <w:t>rhTSH</w:t>
      </w:r>
      <w:proofErr w:type="spellEnd"/>
      <w:r w:rsidR="00173272" w:rsidRPr="002369BD">
        <w:rPr>
          <w:rFonts w:ascii="Arial" w:hAnsi="Arial" w:cs="Arial"/>
          <w:sz w:val="24"/>
          <w:szCs w:val="24"/>
        </w:rPr>
        <w:t xml:space="preserve"> </w:t>
      </w:r>
      <w:r w:rsidR="00897502" w:rsidRPr="002369BD">
        <w:rPr>
          <w:rFonts w:ascii="Arial" w:hAnsi="Arial" w:cs="Arial"/>
          <w:sz w:val="24"/>
          <w:szCs w:val="24"/>
        </w:rPr>
        <w:t>injection and of hypothyroidism</w:t>
      </w:r>
      <w:r w:rsidRPr="002369BD">
        <w:rPr>
          <w:rFonts w:ascii="Arial" w:hAnsi="Arial" w:cs="Arial"/>
          <w:sz w:val="24"/>
          <w:szCs w:val="24"/>
        </w:rPr>
        <w:t xml:space="preserve"> from</w:t>
      </w:r>
      <w:r w:rsidR="00173272" w:rsidRPr="002369BD">
        <w:rPr>
          <w:rFonts w:ascii="Arial" w:hAnsi="Arial" w:cs="Arial"/>
          <w:sz w:val="24"/>
          <w:szCs w:val="24"/>
        </w:rPr>
        <w:t xml:space="preserve"> </w:t>
      </w:r>
      <w:r w:rsidR="00B3432B" w:rsidRPr="002369BD">
        <w:rPr>
          <w:rFonts w:ascii="Arial" w:hAnsi="Arial" w:cs="Arial"/>
          <w:sz w:val="24"/>
          <w:szCs w:val="24"/>
        </w:rPr>
        <w:t>THW</w:t>
      </w:r>
      <w:r w:rsidRPr="002369BD">
        <w:rPr>
          <w:rFonts w:ascii="Arial" w:hAnsi="Arial" w:cs="Arial"/>
          <w:sz w:val="24"/>
          <w:szCs w:val="24"/>
        </w:rPr>
        <w:t>.</w:t>
      </w:r>
      <w:r w:rsidR="00897502" w:rsidRPr="002369BD">
        <w:rPr>
          <w:rFonts w:ascii="Arial" w:hAnsi="Arial" w:cs="Arial"/>
          <w:sz w:val="24"/>
          <w:szCs w:val="24"/>
        </w:rPr>
        <w:t xml:space="preserve"> In order to avoid</w:t>
      </w:r>
      <w:r w:rsidR="00173272" w:rsidRPr="002369BD">
        <w:rPr>
          <w:rFonts w:ascii="Arial" w:hAnsi="Arial" w:cs="Arial"/>
          <w:sz w:val="24"/>
          <w:szCs w:val="24"/>
        </w:rPr>
        <w:t xml:space="preserve"> </w:t>
      </w:r>
      <w:r w:rsidR="00897502" w:rsidRPr="002369BD">
        <w:rPr>
          <w:rFonts w:ascii="Arial" w:hAnsi="Arial" w:cs="Arial"/>
          <w:sz w:val="24"/>
          <w:szCs w:val="24"/>
        </w:rPr>
        <w:t>severely symptomatic,</w:t>
      </w:r>
      <w:r w:rsidR="00B62ABC" w:rsidRPr="002369BD">
        <w:rPr>
          <w:rFonts w:ascii="Arial" w:hAnsi="Arial" w:cs="Arial"/>
          <w:sz w:val="24"/>
          <w:szCs w:val="24"/>
        </w:rPr>
        <w:t xml:space="preserve"> </w:t>
      </w:r>
      <w:r w:rsidR="0020574E" w:rsidRPr="002369BD">
        <w:rPr>
          <w:rFonts w:ascii="Arial" w:hAnsi="Arial" w:cs="Arial"/>
          <w:sz w:val="24"/>
          <w:szCs w:val="24"/>
        </w:rPr>
        <w:t>pro</w:t>
      </w:r>
      <w:r w:rsidR="00897502" w:rsidRPr="002369BD">
        <w:rPr>
          <w:rFonts w:ascii="Arial" w:hAnsi="Arial" w:cs="Arial"/>
          <w:sz w:val="24"/>
          <w:szCs w:val="24"/>
        </w:rPr>
        <w:t>longed</w:t>
      </w:r>
      <w:r w:rsidR="003451B0" w:rsidRPr="002369BD">
        <w:rPr>
          <w:rFonts w:ascii="Arial" w:hAnsi="Arial" w:cs="Arial"/>
          <w:sz w:val="24"/>
          <w:szCs w:val="24"/>
        </w:rPr>
        <w:t xml:space="preserve"> </w:t>
      </w:r>
      <w:r w:rsidR="00897502" w:rsidRPr="002369BD">
        <w:rPr>
          <w:rFonts w:ascii="Arial" w:hAnsi="Arial" w:cs="Arial"/>
          <w:sz w:val="24"/>
          <w:szCs w:val="24"/>
        </w:rPr>
        <w:t>hypothyroidism, patients may be maintained on T3 until 10–14 d</w:t>
      </w:r>
      <w:r w:rsidR="00354924" w:rsidRPr="002369BD">
        <w:rPr>
          <w:rFonts w:ascii="Arial" w:hAnsi="Arial" w:cs="Arial"/>
          <w:sz w:val="24"/>
          <w:szCs w:val="24"/>
        </w:rPr>
        <w:t>ays</w:t>
      </w:r>
      <w:r w:rsidR="0020574E" w:rsidRPr="002369BD">
        <w:rPr>
          <w:rFonts w:ascii="Arial" w:hAnsi="Arial" w:cs="Arial"/>
          <w:sz w:val="24"/>
          <w:szCs w:val="24"/>
        </w:rPr>
        <w:t xml:space="preserve"> prior to administration of RAI</w:t>
      </w:r>
      <w:r w:rsidR="00897502" w:rsidRPr="002369BD">
        <w:rPr>
          <w:rFonts w:ascii="Arial" w:hAnsi="Arial" w:cs="Arial"/>
          <w:sz w:val="24"/>
          <w:szCs w:val="24"/>
        </w:rPr>
        <w:t xml:space="preserve">. </w:t>
      </w:r>
    </w:p>
    <w:p w14:paraId="6D8E1661" w14:textId="7E84CD53" w:rsidR="00D42587" w:rsidRPr="002369BD" w:rsidRDefault="00050DAA" w:rsidP="002369BD">
      <w:pPr>
        <w:pStyle w:val="ListParagraph"/>
        <w:numPr>
          <w:ilvl w:val="0"/>
          <w:numId w:val="9"/>
        </w:numPr>
        <w:tabs>
          <w:tab w:val="left" w:pos="360"/>
          <w:tab w:val="left" w:pos="630"/>
        </w:tabs>
        <w:spacing w:after="0" w:line="360" w:lineRule="auto"/>
        <w:jc w:val="both"/>
        <w:rPr>
          <w:rFonts w:ascii="Arial" w:hAnsi="Arial" w:cs="Arial"/>
          <w:sz w:val="24"/>
          <w:szCs w:val="24"/>
        </w:rPr>
      </w:pPr>
      <w:r w:rsidRPr="002369BD">
        <w:rPr>
          <w:rFonts w:ascii="Arial" w:hAnsi="Arial" w:cs="Arial"/>
          <w:i/>
          <w:iCs/>
          <w:sz w:val="24"/>
          <w:szCs w:val="24"/>
        </w:rPr>
        <w:t xml:space="preserve">Considerations for the TSH optimization preparation: </w:t>
      </w:r>
      <w:r w:rsidR="00D42587" w:rsidRPr="002369BD">
        <w:rPr>
          <w:rFonts w:ascii="Arial" w:hAnsi="Arial" w:cs="Arial"/>
          <w:sz w:val="24"/>
          <w:szCs w:val="24"/>
        </w:rPr>
        <w:t xml:space="preserve">The choice of preparation method (THW vs. </w:t>
      </w:r>
      <w:proofErr w:type="spellStart"/>
      <w:r w:rsidR="00D42587" w:rsidRPr="002369BD">
        <w:rPr>
          <w:rFonts w:ascii="Arial" w:hAnsi="Arial" w:cs="Arial"/>
          <w:sz w:val="24"/>
          <w:szCs w:val="24"/>
        </w:rPr>
        <w:t>rhTSH</w:t>
      </w:r>
      <w:proofErr w:type="spellEnd"/>
      <w:r w:rsidR="00D42587" w:rsidRPr="002369BD">
        <w:rPr>
          <w:rFonts w:ascii="Arial" w:hAnsi="Arial" w:cs="Arial"/>
          <w:sz w:val="24"/>
          <w:szCs w:val="24"/>
        </w:rPr>
        <w:t>) is a very complex issue and needs to be individualized for each patient. Important considerations include:</w:t>
      </w:r>
    </w:p>
    <w:p w14:paraId="7EFD6FE9" w14:textId="60BB2CA0" w:rsidR="00D42587" w:rsidRPr="002369BD" w:rsidRDefault="00D42587" w:rsidP="002369BD">
      <w:pPr>
        <w:pStyle w:val="ListParagraph"/>
        <w:numPr>
          <w:ilvl w:val="0"/>
          <w:numId w:val="19"/>
        </w:numPr>
        <w:spacing w:after="200" w:line="360" w:lineRule="auto"/>
        <w:rPr>
          <w:rFonts w:ascii="Arial" w:hAnsi="Arial" w:cs="Arial"/>
          <w:sz w:val="24"/>
          <w:szCs w:val="24"/>
        </w:rPr>
      </w:pPr>
      <w:r w:rsidRPr="002369BD">
        <w:rPr>
          <w:rFonts w:ascii="Arial" w:hAnsi="Arial" w:cs="Arial"/>
          <w:sz w:val="24"/>
          <w:szCs w:val="24"/>
        </w:rPr>
        <w:t>There is agreement that for normal thyroid tissue (i.e. thyroid remnant)</w:t>
      </w:r>
      <w:r w:rsidR="001F7235">
        <w:rPr>
          <w:rFonts w:ascii="Arial" w:hAnsi="Arial" w:cs="Arial"/>
          <w:sz w:val="24"/>
          <w:szCs w:val="24"/>
        </w:rPr>
        <w:t>,</w:t>
      </w:r>
      <w:r w:rsidRPr="002369BD">
        <w:rPr>
          <w:rFonts w:ascii="Arial" w:hAnsi="Arial" w:cs="Arial"/>
          <w:sz w:val="24"/>
          <w:szCs w:val="24"/>
        </w:rPr>
        <w:t xml:space="preserve"> </w:t>
      </w:r>
      <w:proofErr w:type="spellStart"/>
      <w:r w:rsidRPr="002369BD">
        <w:rPr>
          <w:rFonts w:ascii="Arial" w:hAnsi="Arial" w:cs="Arial"/>
          <w:sz w:val="24"/>
          <w:szCs w:val="24"/>
        </w:rPr>
        <w:t>rhTSH</w:t>
      </w:r>
      <w:proofErr w:type="spellEnd"/>
      <w:r w:rsidRPr="002369BD">
        <w:rPr>
          <w:rFonts w:ascii="Arial" w:hAnsi="Arial" w:cs="Arial"/>
          <w:sz w:val="24"/>
          <w:szCs w:val="24"/>
        </w:rPr>
        <w:t xml:space="preserve"> and </w:t>
      </w:r>
      <w:r w:rsidR="00050DAA" w:rsidRPr="002369BD">
        <w:rPr>
          <w:rFonts w:ascii="Arial" w:hAnsi="Arial" w:cs="Arial"/>
          <w:sz w:val="24"/>
          <w:szCs w:val="24"/>
        </w:rPr>
        <w:t>THW</w:t>
      </w:r>
      <w:r w:rsidR="001F7235">
        <w:rPr>
          <w:rFonts w:ascii="Arial" w:hAnsi="Arial" w:cs="Arial"/>
          <w:sz w:val="24"/>
          <w:szCs w:val="24"/>
        </w:rPr>
        <w:t xml:space="preserve"> </w:t>
      </w:r>
      <w:r w:rsidRPr="002369BD">
        <w:rPr>
          <w:rFonts w:ascii="Arial" w:hAnsi="Arial" w:cs="Arial"/>
          <w:sz w:val="24"/>
          <w:szCs w:val="24"/>
        </w:rPr>
        <w:t xml:space="preserve">stimulation are equivalent, because normal thyroid tissue has constitutive high expression of highly functional Na-I symporters and does not require prolonged TSH stimulation for adequate </w:t>
      </w:r>
      <w:r w:rsidR="007E2B38" w:rsidRPr="002369BD">
        <w:rPr>
          <w:rFonts w:ascii="Arial" w:hAnsi="Arial" w:cs="Arial"/>
          <w:sz w:val="24"/>
          <w:szCs w:val="24"/>
        </w:rPr>
        <w:t>RAI</w:t>
      </w:r>
      <w:r w:rsidRPr="002369BD">
        <w:rPr>
          <w:rFonts w:ascii="Arial" w:hAnsi="Arial" w:cs="Arial"/>
          <w:sz w:val="24"/>
          <w:szCs w:val="24"/>
        </w:rPr>
        <w:t xml:space="preserve"> uptake and retention.</w:t>
      </w:r>
    </w:p>
    <w:p w14:paraId="5DB8E92E" w14:textId="530D9124" w:rsidR="00D42587" w:rsidRPr="002369BD" w:rsidRDefault="00D42587" w:rsidP="002369BD">
      <w:pPr>
        <w:pStyle w:val="ListParagraph"/>
        <w:numPr>
          <w:ilvl w:val="0"/>
          <w:numId w:val="19"/>
        </w:numPr>
        <w:spacing w:after="200" w:line="360" w:lineRule="auto"/>
        <w:rPr>
          <w:rFonts w:ascii="Arial" w:hAnsi="Arial" w:cs="Arial"/>
          <w:sz w:val="24"/>
          <w:szCs w:val="24"/>
        </w:rPr>
      </w:pPr>
      <w:r w:rsidRPr="002369BD">
        <w:rPr>
          <w:rFonts w:ascii="Arial" w:hAnsi="Arial" w:cs="Arial"/>
          <w:sz w:val="24"/>
          <w:szCs w:val="24"/>
        </w:rPr>
        <w:t>However, metastatic thyroid cancer has lesser density and poorer functionality of Na-I symporters, and therefore</w:t>
      </w:r>
      <w:r w:rsidR="008A3200" w:rsidRPr="002369BD">
        <w:rPr>
          <w:rFonts w:ascii="Arial" w:hAnsi="Arial" w:cs="Arial"/>
          <w:sz w:val="24"/>
          <w:szCs w:val="24"/>
        </w:rPr>
        <w:t>,</w:t>
      </w:r>
      <w:r w:rsidRPr="002369BD">
        <w:rPr>
          <w:rFonts w:ascii="Arial" w:hAnsi="Arial" w:cs="Arial"/>
          <w:sz w:val="24"/>
          <w:szCs w:val="24"/>
        </w:rPr>
        <w:t xml:space="preserve"> TSH elevation over time (area under the curve of TSH stimulation) is important to promote increased </w:t>
      </w:r>
      <w:r w:rsidR="007E2B38" w:rsidRPr="002369BD">
        <w:rPr>
          <w:rFonts w:ascii="Arial" w:hAnsi="Arial" w:cs="Arial"/>
          <w:sz w:val="24"/>
          <w:szCs w:val="24"/>
        </w:rPr>
        <w:t>RAI</w:t>
      </w:r>
      <w:r w:rsidR="008A3200" w:rsidRPr="002369BD">
        <w:rPr>
          <w:rFonts w:ascii="Arial" w:hAnsi="Arial" w:cs="Arial"/>
          <w:sz w:val="24"/>
          <w:szCs w:val="24"/>
        </w:rPr>
        <w:t xml:space="preserve"> </w:t>
      </w:r>
      <w:r w:rsidRPr="002369BD">
        <w:rPr>
          <w:rFonts w:ascii="Arial" w:hAnsi="Arial" w:cs="Arial"/>
          <w:sz w:val="24"/>
          <w:szCs w:val="24"/>
        </w:rPr>
        <w:t xml:space="preserve">uptake and retention in tumors. Across 2 clinical studies, </w:t>
      </w:r>
      <w:proofErr w:type="spellStart"/>
      <w:r w:rsidR="008A3200" w:rsidRPr="002369BD">
        <w:rPr>
          <w:rFonts w:ascii="Arial" w:hAnsi="Arial" w:cs="Arial"/>
          <w:sz w:val="24"/>
          <w:szCs w:val="24"/>
        </w:rPr>
        <w:t>rTSH</w:t>
      </w:r>
      <w:proofErr w:type="spellEnd"/>
      <w:r w:rsidR="008A3200" w:rsidRPr="002369BD">
        <w:rPr>
          <w:rFonts w:ascii="Arial" w:hAnsi="Arial" w:cs="Arial"/>
          <w:sz w:val="24"/>
          <w:szCs w:val="24"/>
        </w:rPr>
        <w:t>-stimulated</w:t>
      </w:r>
      <w:r w:rsidRPr="002369BD">
        <w:rPr>
          <w:rFonts w:ascii="Arial" w:hAnsi="Arial" w:cs="Arial"/>
          <w:sz w:val="24"/>
          <w:szCs w:val="24"/>
        </w:rPr>
        <w:t xml:space="preserve"> scan</w:t>
      </w:r>
      <w:r w:rsidR="008A3200" w:rsidRPr="002369BD">
        <w:rPr>
          <w:rFonts w:ascii="Arial" w:hAnsi="Arial" w:cs="Arial"/>
          <w:sz w:val="24"/>
          <w:szCs w:val="24"/>
        </w:rPr>
        <w:t>s</w:t>
      </w:r>
      <w:r w:rsidRPr="002369BD">
        <w:rPr>
          <w:rFonts w:ascii="Arial" w:hAnsi="Arial" w:cs="Arial"/>
          <w:sz w:val="24"/>
          <w:szCs w:val="24"/>
        </w:rPr>
        <w:t xml:space="preserve"> failed to detect remnant and/or cancer localized to the thyroid bed in </w:t>
      </w:r>
      <w:r w:rsidRPr="002369BD">
        <w:rPr>
          <w:rFonts w:ascii="Arial" w:hAnsi="Arial" w:cs="Arial"/>
          <w:sz w:val="24"/>
          <w:szCs w:val="24"/>
        </w:rPr>
        <w:lastRenderedPageBreak/>
        <w:t>1</w:t>
      </w:r>
      <w:r w:rsidR="00CA71F4">
        <w:rPr>
          <w:rFonts w:ascii="Arial" w:hAnsi="Arial" w:cs="Arial"/>
          <w:sz w:val="24"/>
          <w:szCs w:val="24"/>
        </w:rPr>
        <w:t>7</w:t>
      </w:r>
      <w:r w:rsidRPr="002369BD">
        <w:rPr>
          <w:rFonts w:ascii="Arial" w:hAnsi="Arial" w:cs="Arial"/>
          <w:sz w:val="24"/>
          <w:szCs w:val="24"/>
        </w:rPr>
        <w:t>% of patients</w:t>
      </w:r>
      <w:r w:rsidR="008A3200" w:rsidRPr="002369BD">
        <w:rPr>
          <w:rFonts w:ascii="Arial" w:hAnsi="Arial" w:cs="Arial"/>
          <w:sz w:val="24"/>
          <w:szCs w:val="24"/>
        </w:rPr>
        <w:t xml:space="preserve"> and metastatic disease in 2</w:t>
      </w:r>
      <w:r w:rsidR="00CA71F4">
        <w:rPr>
          <w:rFonts w:ascii="Arial" w:hAnsi="Arial" w:cs="Arial"/>
          <w:sz w:val="24"/>
          <w:szCs w:val="24"/>
        </w:rPr>
        <w:t>9</w:t>
      </w:r>
      <w:r w:rsidR="008A3200" w:rsidRPr="002369BD">
        <w:rPr>
          <w:rFonts w:ascii="Arial" w:hAnsi="Arial" w:cs="Arial"/>
          <w:sz w:val="24"/>
          <w:szCs w:val="24"/>
        </w:rPr>
        <w:t>%</w:t>
      </w:r>
      <w:r w:rsidRPr="002369BD">
        <w:rPr>
          <w:rFonts w:ascii="Arial" w:hAnsi="Arial" w:cs="Arial"/>
          <w:sz w:val="24"/>
          <w:szCs w:val="24"/>
        </w:rPr>
        <w:t xml:space="preserve"> in whom it was detected by a scan after </w:t>
      </w:r>
      <w:r w:rsidR="002066B4" w:rsidRPr="002369BD">
        <w:rPr>
          <w:rFonts w:ascii="Arial" w:hAnsi="Arial" w:cs="Arial"/>
          <w:sz w:val="24"/>
          <w:szCs w:val="24"/>
        </w:rPr>
        <w:t>L-</w:t>
      </w:r>
      <w:r w:rsidRPr="002369BD">
        <w:rPr>
          <w:rFonts w:ascii="Arial" w:hAnsi="Arial" w:cs="Arial"/>
          <w:sz w:val="24"/>
          <w:szCs w:val="24"/>
        </w:rPr>
        <w:t>T4 withdrawal.</w:t>
      </w:r>
      <w:r w:rsidR="008A3200" w:rsidRPr="002369BD">
        <w:rPr>
          <w:rFonts w:ascii="Arial" w:hAnsi="Arial" w:cs="Arial"/>
          <w:sz w:val="24"/>
          <w:szCs w:val="24"/>
        </w:rPr>
        <w:t xml:space="preserve"> </w:t>
      </w:r>
      <w:r w:rsidRPr="002369BD">
        <w:rPr>
          <w:rFonts w:ascii="Arial" w:hAnsi="Arial" w:cs="Arial"/>
          <w:sz w:val="24"/>
          <w:szCs w:val="24"/>
        </w:rPr>
        <w:fldChar w:fldCharType="begin">
          <w:fldData xml:space="preserve">PEVuZE5vdGU+PENpdGU+PEF1dGhvcj5MYWRlbnNvbjwvQXV0aG9yPjxZZWFyPjE5OTc8L1llYXI+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</w:fldData>
        </w:fldChar>
      </w:r>
      <w:r w:rsidRPr="002369BD">
        <w:rPr>
          <w:rFonts w:ascii="Arial" w:hAnsi="Arial" w:cs="Arial"/>
          <w:sz w:val="24"/>
          <w:szCs w:val="24"/>
        </w:rPr>
        <w:instrText xml:space="preserve"> ADDIN EN.CITE </w:instrText>
      </w:r>
      <w:r w:rsidRPr="002369BD">
        <w:rPr>
          <w:rFonts w:ascii="Arial" w:hAnsi="Arial" w:cs="Arial"/>
          <w:sz w:val="24"/>
          <w:szCs w:val="24"/>
        </w:rPr>
        <w:fldChar w:fldCharType="begin">
          <w:fldData xml:space="preserve">PEVuZE5vdGU+PENpdGU+PEF1dGhvcj5MYWRlbnNvbjwvQXV0aG9yPjxZZWFyPjE5OTc8L1llYXI+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</w:fldData>
        </w:fldChar>
      </w:r>
      <w:r w:rsidRPr="002369BD">
        <w:rPr>
          <w:rFonts w:ascii="Arial" w:hAnsi="Arial" w:cs="Arial"/>
          <w:sz w:val="24"/>
          <w:szCs w:val="24"/>
        </w:rPr>
        <w:instrText xml:space="preserve"> ADDIN EN.CITE.DATA </w:instrText>
      </w:r>
      <w:r w:rsidRPr="002369BD">
        <w:rPr>
          <w:rFonts w:ascii="Arial" w:hAnsi="Arial" w:cs="Arial"/>
          <w:sz w:val="24"/>
          <w:szCs w:val="24"/>
        </w:rPr>
      </w:r>
      <w:r w:rsidRPr="002369BD">
        <w:rPr>
          <w:rFonts w:ascii="Arial" w:hAnsi="Arial" w:cs="Arial"/>
          <w:sz w:val="24"/>
          <w:szCs w:val="24"/>
        </w:rPr>
        <w:fldChar w:fldCharType="end"/>
      </w:r>
      <w:r w:rsidRPr="002369BD">
        <w:rPr>
          <w:rFonts w:ascii="Arial" w:hAnsi="Arial" w:cs="Arial"/>
          <w:sz w:val="24"/>
          <w:szCs w:val="24"/>
        </w:rPr>
      </w:r>
      <w:r w:rsidRPr="002369BD">
        <w:rPr>
          <w:rFonts w:ascii="Arial" w:hAnsi="Arial" w:cs="Arial"/>
          <w:sz w:val="24"/>
          <w:szCs w:val="24"/>
        </w:rPr>
        <w:fldChar w:fldCharType="separate"/>
      </w:r>
      <w:r w:rsidRPr="002369BD">
        <w:rPr>
          <w:rFonts w:ascii="Arial" w:hAnsi="Arial" w:cs="Arial"/>
          <w:noProof/>
          <w:sz w:val="24"/>
          <w:szCs w:val="24"/>
        </w:rPr>
        <w:t>(Thyrogen package</w:t>
      </w:r>
      <w:r w:rsidR="00514E15">
        <w:rPr>
          <w:rFonts w:ascii="Arial" w:hAnsi="Arial" w:cs="Arial"/>
          <w:noProof/>
          <w:sz w:val="24"/>
          <w:szCs w:val="24"/>
        </w:rPr>
        <w:t xml:space="preserve"> insert</w:t>
      </w:r>
      <w:r w:rsidRPr="002369BD">
        <w:rPr>
          <w:rFonts w:ascii="Arial" w:hAnsi="Arial" w:cs="Arial"/>
          <w:noProof/>
          <w:sz w:val="24"/>
          <w:szCs w:val="24"/>
        </w:rPr>
        <w:t>)</w:t>
      </w:r>
      <w:r w:rsidRPr="002369BD">
        <w:rPr>
          <w:rFonts w:ascii="Arial" w:hAnsi="Arial" w:cs="Arial"/>
          <w:sz w:val="24"/>
          <w:szCs w:val="24"/>
        </w:rPr>
        <w:fldChar w:fldCharType="end"/>
      </w:r>
    </w:p>
    <w:p w14:paraId="51E97C0E" w14:textId="4A85FEA6" w:rsidR="00D42587" w:rsidRPr="002369BD" w:rsidRDefault="00D42587" w:rsidP="002369BD">
      <w:pPr>
        <w:pStyle w:val="ListParagraph"/>
        <w:numPr>
          <w:ilvl w:val="0"/>
          <w:numId w:val="19"/>
        </w:numPr>
        <w:spacing w:after="200" w:line="360" w:lineRule="auto"/>
        <w:rPr>
          <w:rFonts w:ascii="Arial" w:hAnsi="Arial" w:cs="Arial"/>
          <w:sz w:val="24"/>
          <w:szCs w:val="24"/>
        </w:rPr>
      </w:pPr>
      <w:r w:rsidRPr="002369BD">
        <w:rPr>
          <w:rFonts w:ascii="Arial" w:hAnsi="Arial" w:cs="Arial"/>
          <w:sz w:val="24"/>
          <w:szCs w:val="24"/>
        </w:rPr>
        <w:t xml:space="preserve">The level of </w:t>
      </w:r>
      <w:proofErr w:type="spellStart"/>
      <w:r w:rsidRPr="002369BD">
        <w:rPr>
          <w:rFonts w:ascii="Arial" w:hAnsi="Arial" w:cs="Arial"/>
          <w:sz w:val="24"/>
          <w:szCs w:val="24"/>
        </w:rPr>
        <w:t>Tg</w:t>
      </w:r>
      <w:proofErr w:type="spellEnd"/>
      <w:r w:rsidRPr="002369BD">
        <w:rPr>
          <w:rFonts w:ascii="Arial" w:hAnsi="Arial" w:cs="Arial"/>
          <w:sz w:val="24"/>
          <w:szCs w:val="24"/>
        </w:rPr>
        <w:t xml:space="preserve"> elevation after </w:t>
      </w:r>
      <w:proofErr w:type="spellStart"/>
      <w:r w:rsidRPr="002369BD">
        <w:rPr>
          <w:rFonts w:ascii="Arial" w:hAnsi="Arial" w:cs="Arial"/>
          <w:sz w:val="24"/>
          <w:szCs w:val="24"/>
        </w:rPr>
        <w:t>rhTSH</w:t>
      </w:r>
      <w:proofErr w:type="spellEnd"/>
      <w:r w:rsidRPr="002369BD">
        <w:rPr>
          <w:rFonts w:ascii="Arial" w:hAnsi="Arial" w:cs="Arial"/>
          <w:sz w:val="24"/>
          <w:szCs w:val="24"/>
        </w:rPr>
        <w:t xml:space="preserve"> stimulation is 3-5</w:t>
      </w:r>
      <w:r w:rsidR="005A66BA">
        <w:rPr>
          <w:rFonts w:ascii="Arial" w:hAnsi="Arial" w:cs="Arial"/>
          <w:sz w:val="24"/>
          <w:szCs w:val="24"/>
        </w:rPr>
        <w:t xml:space="preserve"> times</w:t>
      </w:r>
      <w:r w:rsidRPr="002369BD">
        <w:rPr>
          <w:rFonts w:ascii="Arial" w:hAnsi="Arial" w:cs="Arial"/>
          <w:sz w:val="24"/>
          <w:szCs w:val="24"/>
        </w:rPr>
        <w:t xml:space="preserve"> less than that obtained after </w:t>
      </w:r>
      <w:r w:rsidR="008A3200" w:rsidRPr="002369BD">
        <w:rPr>
          <w:rFonts w:ascii="Arial" w:hAnsi="Arial" w:cs="Arial"/>
          <w:sz w:val="24"/>
          <w:szCs w:val="24"/>
        </w:rPr>
        <w:t>THW</w:t>
      </w:r>
      <w:r w:rsidRPr="002369BD">
        <w:rPr>
          <w:rFonts w:ascii="Arial" w:hAnsi="Arial" w:cs="Arial"/>
          <w:sz w:val="24"/>
          <w:szCs w:val="24"/>
        </w:rPr>
        <w:t xml:space="preserve"> </w:t>
      </w:r>
      <w:r w:rsidR="00DC45BA">
        <w:rPr>
          <w:rFonts w:ascii="Arial" w:hAnsi="Arial" w:cs="Arial"/>
          <w:sz w:val="24"/>
          <w:szCs w:val="24"/>
        </w:rPr>
        <w:t>which may result</w:t>
      </w:r>
      <w:r w:rsidR="00DC45BA" w:rsidRPr="002369BD">
        <w:rPr>
          <w:rFonts w:ascii="Arial" w:hAnsi="Arial" w:cs="Arial"/>
          <w:sz w:val="24"/>
          <w:szCs w:val="24"/>
        </w:rPr>
        <w:t xml:space="preserve"> </w:t>
      </w:r>
      <w:r w:rsidRPr="002369BD">
        <w:rPr>
          <w:rFonts w:ascii="Arial" w:hAnsi="Arial" w:cs="Arial"/>
          <w:sz w:val="24"/>
          <w:szCs w:val="24"/>
        </w:rPr>
        <w:t xml:space="preserve">in suboptimal evaluation of post-operative disease burden. </w:t>
      </w:r>
    </w:p>
    <w:p w14:paraId="5D4F7986" w14:textId="77777777" w:rsidR="00B62728" w:rsidRPr="002369BD" w:rsidRDefault="00B62728" w:rsidP="002369BD">
      <w:pPr>
        <w:pStyle w:val="ListParagraph"/>
        <w:tabs>
          <w:tab w:val="left" w:pos="360"/>
          <w:tab w:val="left" w:pos="630"/>
        </w:tabs>
        <w:spacing w:after="0" w:line="360" w:lineRule="auto"/>
        <w:jc w:val="both"/>
        <w:rPr>
          <w:rFonts w:ascii="Arial" w:hAnsi="Arial" w:cs="Arial"/>
          <w:sz w:val="24"/>
          <w:szCs w:val="24"/>
        </w:rPr>
      </w:pPr>
    </w:p>
    <w:p w14:paraId="041634FA" w14:textId="11BDC327" w:rsidR="005A0AB7" w:rsidRPr="002369BD" w:rsidRDefault="00E37353"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u w:val="single"/>
        </w:rPr>
        <w:t>A</w:t>
      </w:r>
      <w:r w:rsidR="00DC7601" w:rsidRPr="002369BD">
        <w:rPr>
          <w:rFonts w:ascii="Arial" w:hAnsi="Arial" w:cs="Arial"/>
          <w:sz w:val="24"/>
          <w:szCs w:val="24"/>
          <w:u w:val="single"/>
        </w:rPr>
        <w:t>dditional lab values</w:t>
      </w:r>
      <w:r w:rsidRPr="002369BD">
        <w:rPr>
          <w:rFonts w:ascii="Arial" w:hAnsi="Arial" w:cs="Arial"/>
          <w:sz w:val="24"/>
          <w:szCs w:val="24"/>
        </w:rPr>
        <w:t>:</w:t>
      </w:r>
      <w:r w:rsidR="00DC7601" w:rsidRPr="002369BD">
        <w:rPr>
          <w:rFonts w:ascii="Arial" w:hAnsi="Arial" w:cs="Arial"/>
          <w:sz w:val="24"/>
          <w:szCs w:val="24"/>
        </w:rPr>
        <w:t xml:space="preserve"> </w:t>
      </w:r>
    </w:p>
    <w:p w14:paraId="0ED96F64" w14:textId="5B8A8BB3" w:rsidR="005A0AB7" w:rsidRPr="002369BD" w:rsidRDefault="005A0AB7" w:rsidP="00232BDE">
      <w:pPr>
        <w:pStyle w:val="ListParagraph"/>
        <w:numPr>
          <w:ilvl w:val="0"/>
          <w:numId w:val="10"/>
        </w:numPr>
        <w:tabs>
          <w:tab w:val="left" w:pos="360"/>
          <w:tab w:val="left" w:pos="630"/>
        </w:tabs>
        <w:spacing w:after="0" w:line="360" w:lineRule="auto"/>
        <w:jc w:val="both"/>
        <w:rPr>
          <w:rFonts w:ascii="Arial" w:hAnsi="Arial" w:cs="Arial"/>
          <w:sz w:val="24"/>
          <w:szCs w:val="24"/>
        </w:rPr>
      </w:pPr>
      <w:r w:rsidRPr="002369BD">
        <w:rPr>
          <w:rFonts w:ascii="Arial" w:hAnsi="Arial" w:cs="Arial"/>
          <w:i/>
          <w:sz w:val="24"/>
          <w:szCs w:val="24"/>
        </w:rPr>
        <w:t xml:space="preserve">TSH and </w:t>
      </w:r>
      <w:proofErr w:type="spellStart"/>
      <w:r w:rsidRPr="002369BD">
        <w:rPr>
          <w:rFonts w:ascii="Arial" w:hAnsi="Arial" w:cs="Arial"/>
          <w:i/>
          <w:sz w:val="24"/>
          <w:szCs w:val="24"/>
        </w:rPr>
        <w:t>Tg</w:t>
      </w:r>
      <w:proofErr w:type="spellEnd"/>
      <w:r w:rsidRPr="002369BD">
        <w:rPr>
          <w:rFonts w:ascii="Arial" w:hAnsi="Arial" w:cs="Arial"/>
          <w:i/>
          <w:sz w:val="24"/>
          <w:szCs w:val="24"/>
        </w:rPr>
        <w:t xml:space="preserve">: </w:t>
      </w:r>
      <w:r w:rsidR="000A46D3" w:rsidRPr="002369BD">
        <w:rPr>
          <w:rFonts w:ascii="Arial" w:hAnsi="Arial" w:cs="Arial"/>
          <w:sz w:val="24"/>
          <w:szCs w:val="24"/>
        </w:rPr>
        <w:t xml:space="preserve">If the patient has undergone </w:t>
      </w:r>
      <w:r w:rsidR="009F43A2" w:rsidRPr="002369BD">
        <w:rPr>
          <w:rFonts w:ascii="Arial" w:hAnsi="Arial" w:cs="Arial"/>
          <w:sz w:val="24"/>
          <w:szCs w:val="24"/>
        </w:rPr>
        <w:t>THW</w:t>
      </w:r>
      <w:r w:rsidR="000A46D3" w:rsidRPr="002369BD">
        <w:rPr>
          <w:rFonts w:ascii="Arial" w:hAnsi="Arial" w:cs="Arial"/>
          <w:sz w:val="24"/>
          <w:szCs w:val="24"/>
        </w:rPr>
        <w:t xml:space="preserve">, TSH and </w:t>
      </w:r>
      <w:proofErr w:type="spellStart"/>
      <w:r w:rsidR="00E37353" w:rsidRPr="002369BD">
        <w:rPr>
          <w:rFonts w:ascii="Arial" w:hAnsi="Arial" w:cs="Arial"/>
          <w:sz w:val="24"/>
          <w:szCs w:val="24"/>
        </w:rPr>
        <w:t>Tg</w:t>
      </w:r>
      <w:proofErr w:type="spellEnd"/>
      <w:r w:rsidR="00E37353" w:rsidRPr="002369BD">
        <w:rPr>
          <w:rFonts w:ascii="Arial" w:hAnsi="Arial" w:cs="Arial"/>
          <w:sz w:val="24"/>
          <w:szCs w:val="24"/>
        </w:rPr>
        <w:t xml:space="preserve"> values should be obtained 1-3</w:t>
      </w:r>
      <w:r w:rsidR="000A46D3" w:rsidRPr="002369BD">
        <w:rPr>
          <w:rFonts w:ascii="Arial" w:hAnsi="Arial" w:cs="Arial"/>
          <w:sz w:val="24"/>
          <w:szCs w:val="24"/>
        </w:rPr>
        <w:t xml:space="preserve"> days before a diagnostic </w:t>
      </w:r>
      <w:r w:rsidR="007E2B38" w:rsidRPr="002369BD">
        <w:rPr>
          <w:rFonts w:ascii="Arial" w:hAnsi="Arial" w:cs="Arial"/>
          <w:sz w:val="24"/>
          <w:szCs w:val="24"/>
        </w:rPr>
        <w:t>RAI</w:t>
      </w:r>
      <w:r w:rsidR="0020574E" w:rsidRPr="002369BD">
        <w:rPr>
          <w:rFonts w:ascii="Arial" w:hAnsi="Arial" w:cs="Arial"/>
          <w:sz w:val="24"/>
          <w:szCs w:val="24"/>
        </w:rPr>
        <w:t xml:space="preserve"> </w:t>
      </w:r>
      <w:r w:rsidR="000A46D3" w:rsidRPr="002369BD">
        <w:rPr>
          <w:rFonts w:ascii="Arial" w:hAnsi="Arial" w:cs="Arial"/>
          <w:sz w:val="24"/>
          <w:szCs w:val="24"/>
        </w:rPr>
        <w:t xml:space="preserve">dose.  </w:t>
      </w:r>
      <w:r w:rsidR="00733F61" w:rsidRPr="002369BD">
        <w:rPr>
          <w:rFonts w:ascii="Arial" w:hAnsi="Arial" w:cs="Arial"/>
          <w:sz w:val="24"/>
          <w:szCs w:val="24"/>
        </w:rPr>
        <w:t xml:space="preserve">Knowledge of TSH-stimulated </w:t>
      </w:r>
      <w:proofErr w:type="spellStart"/>
      <w:r w:rsidR="00733F61" w:rsidRPr="002369BD">
        <w:rPr>
          <w:rFonts w:ascii="Arial" w:hAnsi="Arial" w:cs="Arial"/>
          <w:sz w:val="24"/>
          <w:szCs w:val="24"/>
        </w:rPr>
        <w:t>Tg</w:t>
      </w:r>
      <w:proofErr w:type="spellEnd"/>
      <w:r w:rsidR="00733F61" w:rsidRPr="002369BD">
        <w:rPr>
          <w:rFonts w:ascii="Arial" w:hAnsi="Arial" w:cs="Arial"/>
          <w:sz w:val="24"/>
          <w:szCs w:val="24"/>
        </w:rPr>
        <w:t xml:space="preserve"> levels is very useful, especially in interpreting negative scintigraphic findings.</w:t>
      </w:r>
      <w:r w:rsidR="00F4372A" w:rsidRPr="002369BD">
        <w:rPr>
          <w:rFonts w:ascii="Arial" w:hAnsi="Arial" w:cs="Arial"/>
          <w:sz w:val="24"/>
          <w:szCs w:val="24"/>
        </w:rPr>
        <w:t xml:space="preserve"> </w:t>
      </w:r>
      <w:r w:rsidR="00D01E5F">
        <w:rPr>
          <w:rFonts w:ascii="Arial" w:hAnsi="Arial" w:cs="Arial"/>
          <w:sz w:val="24"/>
          <w:szCs w:val="24"/>
        </w:rPr>
        <w:t>Typically, a</w:t>
      </w:r>
      <w:r w:rsidR="00B86459">
        <w:rPr>
          <w:rFonts w:ascii="Arial" w:hAnsi="Arial" w:cs="Arial"/>
          <w:sz w:val="24"/>
          <w:szCs w:val="24"/>
        </w:rPr>
        <w:t xml:space="preserve"> </w:t>
      </w:r>
      <w:proofErr w:type="spellStart"/>
      <w:r w:rsidR="00B86459">
        <w:rPr>
          <w:rFonts w:ascii="Arial" w:hAnsi="Arial" w:cs="Arial"/>
          <w:sz w:val="24"/>
          <w:szCs w:val="24"/>
        </w:rPr>
        <w:t>Tg</w:t>
      </w:r>
      <w:proofErr w:type="spellEnd"/>
      <w:r w:rsidR="00B86459">
        <w:rPr>
          <w:rFonts w:ascii="Arial" w:hAnsi="Arial" w:cs="Arial"/>
          <w:sz w:val="24"/>
          <w:szCs w:val="24"/>
        </w:rPr>
        <w:t xml:space="preserve"> level of &lt; 1.0 ng/ml indicates remission, while a level </w:t>
      </w:r>
      <w:r w:rsidR="00B86459" w:rsidRPr="00AE36A0">
        <w:rPr>
          <w:rFonts w:ascii="Arial" w:hAnsi="Arial" w:cs="Arial"/>
          <w:sz w:val="24"/>
          <w:szCs w:val="24"/>
        </w:rPr>
        <w:t>&lt; 10 indi</w:t>
      </w:r>
      <w:r w:rsidR="00AE36A0">
        <w:rPr>
          <w:rFonts w:ascii="Arial" w:hAnsi="Arial" w:cs="Arial"/>
          <w:sz w:val="24"/>
          <w:szCs w:val="24"/>
        </w:rPr>
        <w:t>c</w:t>
      </w:r>
      <w:r w:rsidR="00B86459" w:rsidRPr="00AE36A0">
        <w:rPr>
          <w:rFonts w:ascii="Arial" w:hAnsi="Arial" w:cs="Arial"/>
          <w:sz w:val="24"/>
          <w:szCs w:val="24"/>
        </w:rPr>
        <w:t>ates persistent disease.</w:t>
      </w:r>
      <w:r w:rsidR="00AE36A0">
        <w:rPr>
          <w:rFonts w:ascii="Arial" w:hAnsi="Arial" w:cs="Arial"/>
          <w:sz w:val="24"/>
          <w:szCs w:val="24"/>
        </w:rPr>
        <w:t xml:space="preserve"> </w:t>
      </w:r>
      <w:r w:rsidR="00F4372A" w:rsidRPr="002369BD">
        <w:rPr>
          <w:rFonts w:ascii="Arial" w:hAnsi="Arial" w:cs="Arial"/>
          <w:sz w:val="24"/>
          <w:szCs w:val="24"/>
        </w:rPr>
        <w:t xml:space="preserve"> </w:t>
      </w:r>
      <w:r w:rsidR="000A46D3" w:rsidRPr="002369BD">
        <w:rPr>
          <w:rFonts w:ascii="Arial" w:hAnsi="Arial" w:cs="Arial"/>
          <w:sz w:val="24"/>
          <w:szCs w:val="24"/>
        </w:rPr>
        <w:t xml:space="preserve">For </w:t>
      </w:r>
      <w:r w:rsidR="00E97A15" w:rsidRPr="002369BD">
        <w:rPr>
          <w:rFonts w:ascii="Arial" w:hAnsi="Arial" w:cs="Arial"/>
          <w:sz w:val="24"/>
          <w:szCs w:val="24"/>
        </w:rPr>
        <w:t>the</w:t>
      </w:r>
      <w:r w:rsidR="00115A2D" w:rsidRPr="002369BD">
        <w:rPr>
          <w:rFonts w:ascii="Arial" w:hAnsi="Arial" w:cs="Arial"/>
          <w:sz w:val="24"/>
          <w:szCs w:val="24"/>
        </w:rPr>
        <w:t xml:space="preserve"> </w:t>
      </w:r>
      <w:proofErr w:type="spellStart"/>
      <w:r w:rsidR="00115A2D" w:rsidRPr="002369BD">
        <w:rPr>
          <w:rFonts w:ascii="Arial" w:hAnsi="Arial" w:cs="Arial"/>
          <w:sz w:val="24"/>
          <w:szCs w:val="24"/>
        </w:rPr>
        <w:t>rhTSH</w:t>
      </w:r>
      <w:proofErr w:type="spellEnd"/>
      <w:r w:rsidR="00E97A15" w:rsidRPr="002369BD">
        <w:rPr>
          <w:rFonts w:ascii="Arial" w:hAnsi="Arial" w:cs="Arial"/>
          <w:sz w:val="24"/>
          <w:szCs w:val="24"/>
        </w:rPr>
        <w:t xml:space="preserve"> protocol</w:t>
      </w:r>
      <w:r w:rsidR="00115A2D" w:rsidRPr="002369BD">
        <w:rPr>
          <w:rFonts w:ascii="Arial" w:hAnsi="Arial" w:cs="Arial"/>
          <w:sz w:val="24"/>
          <w:szCs w:val="24"/>
        </w:rPr>
        <w:t xml:space="preserve">, </w:t>
      </w:r>
      <w:proofErr w:type="spellStart"/>
      <w:r w:rsidR="00C46512" w:rsidRPr="002369BD">
        <w:rPr>
          <w:rFonts w:ascii="Arial" w:hAnsi="Arial" w:cs="Arial"/>
          <w:sz w:val="24"/>
          <w:szCs w:val="24"/>
        </w:rPr>
        <w:t>Tg</w:t>
      </w:r>
      <w:proofErr w:type="spellEnd"/>
      <w:r w:rsidR="00C46512" w:rsidRPr="002369BD">
        <w:rPr>
          <w:rFonts w:ascii="Arial" w:hAnsi="Arial" w:cs="Arial"/>
          <w:sz w:val="24"/>
          <w:szCs w:val="24"/>
        </w:rPr>
        <w:t xml:space="preserve"> </w:t>
      </w:r>
      <w:r w:rsidR="00115A2D" w:rsidRPr="002369BD">
        <w:rPr>
          <w:rFonts w:ascii="Arial" w:hAnsi="Arial" w:cs="Arial"/>
          <w:sz w:val="24"/>
          <w:szCs w:val="24"/>
        </w:rPr>
        <w:t xml:space="preserve">should be evaluated </w:t>
      </w:r>
      <w:r w:rsidR="00C46512" w:rsidRPr="002369BD">
        <w:rPr>
          <w:rFonts w:ascii="Arial" w:hAnsi="Arial" w:cs="Arial"/>
          <w:sz w:val="24"/>
          <w:szCs w:val="24"/>
        </w:rPr>
        <w:t xml:space="preserve">at baseline (prior to </w:t>
      </w:r>
      <w:proofErr w:type="spellStart"/>
      <w:r w:rsidR="00C46512" w:rsidRPr="002369BD">
        <w:rPr>
          <w:rFonts w:ascii="Arial" w:hAnsi="Arial" w:cs="Arial"/>
          <w:sz w:val="24"/>
          <w:szCs w:val="24"/>
        </w:rPr>
        <w:t>rhTSH</w:t>
      </w:r>
      <w:proofErr w:type="spellEnd"/>
      <w:r w:rsidR="00C46512" w:rsidRPr="002369BD">
        <w:rPr>
          <w:rFonts w:ascii="Arial" w:hAnsi="Arial" w:cs="Arial"/>
          <w:sz w:val="24"/>
          <w:szCs w:val="24"/>
        </w:rPr>
        <w:t xml:space="preserve"> administration) and</w:t>
      </w:r>
      <w:r w:rsidR="00115A2D" w:rsidRPr="002369BD">
        <w:rPr>
          <w:rFonts w:ascii="Arial" w:hAnsi="Arial" w:cs="Arial"/>
          <w:sz w:val="24"/>
          <w:szCs w:val="24"/>
        </w:rPr>
        <w:t xml:space="preserve"> a</w:t>
      </w:r>
      <w:r w:rsidR="00C46512" w:rsidRPr="002369BD">
        <w:rPr>
          <w:rFonts w:ascii="Arial" w:hAnsi="Arial" w:cs="Arial"/>
          <w:sz w:val="24"/>
          <w:szCs w:val="24"/>
        </w:rPr>
        <w:t>t</w:t>
      </w:r>
      <w:r w:rsidR="007E2B38" w:rsidRPr="002369BD">
        <w:rPr>
          <w:rFonts w:ascii="Arial" w:hAnsi="Arial" w:cs="Arial"/>
          <w:sz w:val="24"/>
          <w:szCs w:val="24"/>
        </w:rPr>
        <w:t xml:space="preserve"> </w:t>
      </w:r>
      <w:r w:rsidR="00115A2D" w:rsidRPr="002369BD">
        <w:rPr>
          <w:rFonts w:ascii="Arial" w:hAnsi="Arial" w:cs="Arial"/>
          <w:sz w:val="24"/>
          <w:szCs w:val="24"/>
        </w:rPr>
        <w:t>3 d</w:t>
      </w:r>
      <w:r w:rsidR="00354924" w:rsidRPr="002369BD">
        <w:rPr>
          <w:rFonts w:ascii="Arial" w:hAnsi="Arial" w:cs="Arial"/>
          <w:sz w:val="24"/>
          <w:szCs w:val="24"/>
        </w:rPr>
        <w:t>ays</w:t>
      </w:r>
      <w:r w:rsidR="00115A2D" w:rsidRPr="002369BD">
        <w:rPr>
          <w:rFonts w:ascii="Arial" w:hAnsi="Arial" w:cs="Arial"/>
          <w:sz w:val="24"/>
          <w:szCs w:val="24"/>
        </w:rPr>
        <w:t xml:space="preserve"> after the 2</w:t>
      </w:r>
      <w:r w:rsidR="00115A2D" w:rsidRPr="002369BD">
        <w:rPr>
          <w:rFonts w:ascii="Arial" w:hAnsi="Arial" w:cs="Arial"/>
          <w:sz w:val="24"/>
          <w:szCs w:val="24"/>
          <w:vertAlign w:val="superscript"/>
        </w:rPr>
        <w:t>nd</w:t>
      </w:r>
      <w:r w:rsidR="00115A2D" w:rsidRPr="002369BD">
        <w:rPr>
          <w:rFonts w:ascii="Arial" w:hAnsi="Arial" w:cs="Arial"/>
          <w:sz w:val="24"/>
          <w:szCs w:val="24"/>
        </w:rPr>
        <w:t xml:space="preserve"> dose of </w:t>
      </w:r>
      <w:proofErr w:type="spellStart"/>
      <w:r w:rsidR="00115A2D" w:rsidRPr="002369BD">
        <w:rPr>
          <w:rFonts w:ascii="Arial" w:hAnsi="Arial" w:cs="Arial"/>
          <w:sz w:val="24"/>
          <w:szCs w:val="24"/>
        </w:rPr>
        <w:t>rhTSH</w:t>
      </w:r>
      <w:proofErr w:type="spellEnd"/>
      <w:r w:rsidR="005B2185">
        <w:rPr>
          <w:rFonts w:ascii="Arial" w:hAnsi="Arial" w:cs="Arial"/>
          <w:sz w:val="24"/>
          <w:szCs w:val="24"/>
        </w:rPr>
        <w:t>.</w:t>
      </w:r>
      <w:r w:rsidR="00115A2D" w:rsidRPr="002369BD">
        <w:rPr>
          <w:rFonts w:ascii="Arial" w:hAnsi="Arial" w:cs="Arial"/>
          <w:sz w:val="24"/>
          <w:szCs w:val="24"/>
        </w:rPr>
        <w:t xml:space="preserve"> </w:t>
      </w:r>
    </w:p>
    <w:p w14:paraId="763DB871" w14:textId="26E94349" w:rsidR="009028D3" w:rsidRPr="002369BD" w:rsidRDefault="005A0AB7" w:rsidP="00232BDE">
      <w:pPr>
        <w:pStyle w:val="ListParagraph"/>
        <w:numPr>
          <w:ilvl w:val="0"/>
          <w:numId w:val="10"/>
        </w:numPr>
        <w:tabs>
          <w:tab w:val="left" w:pos="360"/>
          <w:tab w:val="left" w:pos="630"/>
        </w:tabs>
        <w:spacing w:after="0" w:line="360" w:lineRule="auto"/>
        <w:jc w:val="both"/>
        <w:rPr>
          <w:rFonts w:ascii="Arial" w:hAnsi="Arial" w:cs="Arial"/>
          <w:sz w:val="24"/>
          <w:szCs w:val="24"/>
        </w:rPr>
        <w:sectPr w:rsidR="009028D3" w:rsidRPr="002369BD" w:rsidSect="002369BD">
          <w:type w:val="continuous"/>
          <w:pgSz w:w="12240" w:h="15840"/>
          <w:pgMar w:top="1440" w:right="1440" w:bottom="1440" w:left="1440" w:header="720" w:footer="720" w:gutter="0"/>
          <w:cols w:space="720"/>
          <w:noEndnote/>
          <w:docGrid w:linePitch="299"/>
        </w:sectPr>
      </w:pPr>
      <w:r w:rsidRPr="002369BD">
        <w:rPr>
          <w:rFonts w:ascii="Arial" w:hAnsi="Arial" w:cs="Arial"/>
          <w:i/>
          <w:sz w:val="24"/>
          <w:szCs w:val="24"/>
        </w:rPr>
        <w:t>Anti-</w:t>
      </w:r>
      <w:proofErr w:type="spellStart"/>
      <w:r w:rsidRPr="002369BD">
        <w:rPr>
          <w:rFonts w:ascii="Arial" w:hAnsi="Arial" w:cs="Arial"/>
          <w:i/>
          <w:sz w:val="24"/>
          <w:szCs w:val="24"/>
        </w:rPr>
        <w:t>Tg</w:t>
      </w:r>
      <w:proofErr w:type="spellEnd"/>
      <w:r w:rsidRPr="002369BD">
        <w:rPr>
          <w:rFonts w:ascii="Arial" w:hAnsi="Arial" w:cs="Arial"/>
          <w:i/>
          <w:sz w:val="24"/>
          <w:szCs w:val="24"/>
        </w:rPr>
        <w:t xml:space="preserve"> Antibody: </w:t>
      </w:r>
      <w:r w:rsidR="00F304AD" w:rsidRPr="002369BD">
        <w:rPr>
          <w:rFonts w:ascii="Arial" w:hAnsi="Arial" w:cs="Arial"/>
          <w:sz w:val="24"/>
          <w:szCs w:val="24"/>
        </w:rPr>
        <w:t>Anti-</w:t>
      </w:r>
      <w:proofErr w:type="spellStart"/>
      <w:r w:rsidR="00811C3C" w:rsidRPr="002369BD">
        <w:rPr>
          <w:rFonts w:ascii="Arial" w:hAnsi="Arial" w:cs="Arial"/>
          <w:sz w:val="24"/>
          <w:szCs w:val="24"/>
        </w:rPr>
        <w:t>Tg</w:t>
      </w:r>
      <w:proofErr w:type="spellEnd"/>
      <w:r w:rsidR="00811C3C" w:rsidRPr="002369BD">
        <w:rPr>
          <w:rFonts w:ascii="Arial" w:hAnsi="Arial" w:cs="Arial"/>
          <w:sz w:val="24"/>
          <w:szCs w:val="24"/>
        </w:rPr>
        <w:t xml:space="preserve"> antibody can falsely elevate or lower </w:t>
      </w:r>
      <w:proofErr w:type="spellStart"/>
      <w:r w:rsidR="00811C3C" w:rsidRPr="002369BD">
        <w:rPr>
          <w:rFonts w:ascii="Arial" w:hAnsi="Arial" w:cs="Arial"/>
          <w:sz w:val="24"/>
          <w:szCs w:val="24"/>
        </w:rPr>
        <w:t>Tg</w:t>
      </w:r>
      <w:proofErr w:type="spellEnd"/>
      <w:r w:rsidR="00811C3C" w:rsidRPr="002369BD">
        <w:rPr>
          <w:rFonts w:ascii="Arial" w:hAnsi="Arial" w:cs="Arial"/>
          <w:sz w:val="24"/>
          <w:szCs w:val="24"/>
        </w:rPr>
        <w:t xml:space="preserve"> levels</w:t>
      </w:r>
      <w:r w:rsidR="00F102F3" w:rsidRPr="002369BD">
        <w:rPr>
          <w:rFonts w:ascii="Arial" w:hAnsi="Arial" w:cs="Arial"/>
          <w:sz w:val="24"/>
          <w:szCs w:val="24"/>
        </w:rPr>
        <w:t xml:space="preserve"> invalidating the serum </w:t>
      </w:r>
      <w:proofErr w:type="spellStart"/>
      <w:r w:rsidR="00F102F3" w:rsidRPr="002369BD">
        <w:rPr>
          <w:rFonts w:ascii="Arial" w:hAnsi="Arial" w:cs="Arial"/>
          <w:sz w:val="24"/>
          <w:szCs w:val="24"/>
        </w:rPr>
        <w:t>Tg</w:t>
      </w:r>
      <w:proofErr w:type="spellEnd"/>
      <w:r w:rsidR="00F102F3" w:rsidRPr="002369BD">
        <w:rPr>
          <w:rFonts w:ascii="Arial" w:hAnsi="Arial" w:cs="Arial"/>
          <w:sz w:val="24"/>
          <w:szCs w:val="24"/>
        </w:rPr>
        <w:t xml:space="preserve"> measurement.  Therefore, </w:t>
      </w:r>
      <w:proofErr w:type="spellStart"/>
      <w:r w:rsidR="00A424B5" w:rsidRPr="002369BD">
        <w:rPr>
          <w:rFonts w:ascii="Arial" w:hAnsi="Arial" w:cs="Arial"/>
          <w:sz w:val="24"/>
          <w:szCs w:val="24"/>
        </w:rPr>
        <w:t>Tg</w:t>
      </w:r>
      <w:proofErr w:type="spellEnd"/>
      <w:r w:rsidR="00A424B5" w:rsidRPr="002369BD">
        <w:rPr>
          <w:rFonts w:ascii="Arial" w:hAnsi="Arial" w:cs="Arial"/>
          <w:sz w:val="24"/>
          <w:szCs w:val="24"/>
        </w:rPr>
        <w:t xml:space="preserve"> antibody assays </w:t>
      </w:r>
      <w:r w:rsidR="00E97A15" w:rsidRPr="002369BD">
        <w:rPr>
          <w:rFonts w:ascii="Arial" w:hAnsi="Arial" w:cs="Arial"/>
          <w:sz w:val="24"/>
          <w:szCs w:val="24"/>
        </w:rPr>
        <w:t>must</w:t>
      </w:r>
      <w:r w:rsidR="00A424B5" w:rsidRPr="002369BD">
        <w:rPr>
          <w:rFonts w:ascii="Arial" w:hAnsi="Arial" w:cs="Arial"/>
          <w:sz w:val="24"/>
          <w:szCs w:val="24"/>
        </w:rPr>
        <w:t xml:space="preserve"> also be obtained</w:t>
      </w:r>
      <w:r w:rsidR="00C46512" w:rsidRPr="002369BD">
        <w:rPr>
          <w:rFonts w:ascii="Arial" w:hAnsi="Arial" w:cs="Arial"/>
          <w:sz w:val="24"/>
          <w:szCs w:val="24"/>
        </w:rPr>
        <w:t xml:space="preserve"> in tandem with </w:t>
      </w:r>
      <w:proofErr w:type="spellStart"/>
      <w:r w:rsidR="00C46512" w:rsidRPr="002369BD">
        <w:rPr>
          <w:rFonts w:ascii="Arial" w:hAnsi="Arial" w:cs="Arial"/>
          <w:sz w:val="24"/>
          <w:szCs w:val="24"/>
        </w:rPr>
        <w:t>Tg</w:t>
      </w:r>
      <w:proofErr w:type="spellEnd"/>
      <w:r w:rsidR="00C46512" w:rsidRPr="002369BD">
        <w:rPr>
          <w:rFonts w:ascii="Arial" w:hAnsi="Arial" w:cs="Arial"/>
          <w:sz w:val="24"/>
          <w:szCs w:val="24"/>
        </w:rPr>
        <w:t xml:space="preserve"> testing</w:t>
      </w:r>
      <w:r w:rsidR="00484617" w:rsidRPr="002369BD">
        <w:rPr>
          <w:rFonts w:ascii="Arial" w:hAnsi="Arial" w:cs="Arial"/>
          <w:sz w:val="24"/>
          <w:szCs w:val="24"/>
        </w:rPr>
        <w:t xml:space="preserve">. </w:t>
      </w:r>
    </w:p>
    <w:tbl>
      <w:tblPr>
        <w:tblStyle w:val="TableGrid"/>
        <w:tblW w:w="0" w:type="auto"/>
        <w:tblInd w:w="327" w:type="dxa"/>
        <w:tblLook w:val="04A0" w:firstRow="1" w:lastRow="0" w:firstColumn="1" w:lastColumn="0" w:noHBand="0" w:noVBand="1"/>
      </w:tblPr>
      <w:tblGrid>
        <w:gridCol w:w="8702"/>
      </w:tblGrid>
      <w:tr w:rsidR="00085F2D" w:rsidRPr="00F354FE" w14:paraId="589E171D" w14:textId="77777777" w:rsidTr="00B01C39">
        <w:trPr>
          <w:trHeight w:val="315"/>
        </w:trPr>
        <w:tc>
          <w:tcPr>
            <w:tcW w:w="8702" w:type="dxa"/>
            <w:noWrap/>
            <w:hideMark/>
          </w:tcPr>
          <w:p w14:paraId="6827C42E" w14:textId="77777777" w:rsidR="00085F2D" w:rsidRPr="00F354FE" w:rsidRDefault="00085F2D" w:rsidP="009028D3">
            <w:pPr>
              <w:tabs>
                <w:tab w:val="left" w:pos="360"/>
                <w:tab w:val="left" w:pos="630"/>
              </w:tabs>
              <w:spacing w:line="360" w:lineRule="auto"/>
              <w:jc w:val="both"/>
              <w:rPr>
                <w:rFonts w:ascii="Arial" w:hAnsi="Arial" w:cs="Arial"/>
                <w:b/>
                <w:bCs/>
                <w:sz w:val="20"/>
                <w:szCs w:val="20"/>
              </w:rPr>
            </w:pPr>
            <w:r w:rsidRPr="00F354FE">
              <w:rPr>
                <w:rFonts w:ascii="Arial" w:hAnsi="Arial" w:cs="Arial"/>
                <w:b/>
                <w:bCs/>
                <w:sz w:val="20"/>
                <w:szCs w:val="20"/>
              </w:rPr>
              <w:t>SUMMARY OF INFORMATION PERTINENT TO PERFORMING THE PROCEDURE</w:t>
            </w:r>
          </w:p>
        </w:tc>
      </w:tr>
      <w:tr w:rsidR="00085F2D" w:rsidRPr="00F354FE" w14:paraId="7456F139" w14:textId="77777777" w:rsidTr="00B01C39">
        <w:trPr>
          <w:trHeight w:val="300"/>
        </w:trPr>
        <w:tc>
          <w:tcPr>
            <w:tcW w:w="8702" w:type="dxa"/>
            <w:noWrap/>
            <w:hideMark/>
          </w:tcPr>
          <w:p w14:paraId="43E99DC9" w14:textId="5CF2286F" w:rsidR="00085F2D" w:rsidRPr="00A71A9C" w:rsidRDefault="00CE734D" w:rsidP="0074276B">
            <w:pPr>
              <w:tabs>
                <w:tab w:val="left" w:pos="360"/>
                <w:tab w:val="left" w:pos="630"/>
              </w:tabs>
              <w:jc w:val="both"/>
              <w:rPr>
                <w:rFonts w:ascii="Arial" w:hAnsi="Arial" w:cs="Arial"/>
                <w:sz w:val="20"/>
                <w:szCs w:val="20"/>
              </w:rPr>
            </w:pPr>
            <w:r w:rsidRPr="00F354FE">
              <w:rPr>
                <w:rFonts w:ascii="Arial" w:hAnsi="Arial" w:cs="Arial"/>
                <w:sz w:val="20"/>
                <w:szCs w:val="20"/>
              </w:rPr>
              <w:t>Avoidance</w:t>
            </w:r>
            <w:r w:rsidR="000114DB" w:rsidRPr="00F354FE">
              <w:rPr>
                <w:rFonts w:ascii="Arial" w:hAnsi="Arial" w:cs="Arial"/>
                <w:sz w:val="20"/>
                <w:szCs w:val="20"/>
              </w:rPr>
              <w:t xml:space="preserve"> and history</w:t>
            </w:r>
            <w:r w:rsidRPr="00F354FE">
              <w:rPr>
                <w:rFonts w:ascii="Arial" w:hAnsi="Arial" w:cs="Arial"/>
                <w:sz w:val="20"/>
                <w:szCs w:val="20"/>
              </w:rPr>
              <w:t xml:space="preserve"> of radioiodine interfering materials</w:t>
            </w:r>
            <w:r w:rsidR="000114DB" w:rsidRPr="00F354FE">
              <w:rPr>
                <w:rFonts w:ascii="Arial" w:hAnsi="Arial" w:cs="Arial"/>
                <w:sz w:val="20"/>
                <w:szCs w:val="20"/>
              </w:rPr>
              <w:t xml:space="preserve"> (e</w:t>
            </w:r>
            <w:r w:rsidR="00931188">
              <w:rPr>
                <w:rFonts w:ascii="Arial" w:hAnsi="Arial" w:cs="Arial"/>
                <w:sz w:val="20"/>
                <w:szCs w:val="20"/>
              </w:rPr>
              <w:t>.</w:t>
            </w:r>
            <w:r w:rsidR="000114DB" w:rsidRPr="00F354FE">
              <w:rPr>
                <w:rFonts w:ascii="Arial" w:hAnsi="Arial" w:cs="Arial"/>
                <w:sz w:val="20"/>
                <w:szCs w:val="20"/>
              </w:rPr>
              <w:t>g</w:t>
            </w:r>
            <w:r w:rsidR="00931188">
              <w:rPr>
                <w:rFonts w:ascii="Arial" w:hAnsi="Arial" w:cs="Arial"/>
                <w:sz w:val="20"/>
                <w:szCs w:val="20"/>
              </w:rPr>
              <w:t>.</w:t>
            </w:r>
            <w:r w:rsidR="000114DB" w:rsidRPr="00F354FE">
              <w:rPr>
                <w:rFonts w:ascii="Arial" w:hAnsi="Arial" w:cs="Arial"/>
                <w:sz w:val="20"/>
                <w:szCs w:val="20"/>
              </w:rPr>
              <w:t xml:space="preserve">, medications, IV contrast (especially as part of a CT </w:t>
            </w:r>
            <w:r w:rsidR="000114DB" w:rsidRPr="00A71A9C">
              <w:rPr>
                <w:rFonts w:ascii="Arial" w:hAnsi="Arial" w:cs="Arial"/>
                <w:sz w:val="20"/>
                <w:szCs w:val="20"/>
              </w:rPr>
              <w:t>examination))</w:t>
            </w:r>
          </w:p>
        </w:tc>
      </w:tr>
      <w:tr w:rsidR="00992EC6" w:rsidRPr="00F354FE" w14:paraId="2427DBC3" w14:textId="77777777" w:rsidTr="00B01C39">
        <w:trPr>
          <w:trHeight w:val="300"/>
        </w:trPr>
        <w:tc>
          <w:tcPr>
            <w:tcW w:w="8702" w:type="dxa"/>
            <w:noWrap/>
          </w:tcPr>
          <w:p w14:paraId="26F51B5F" w14:textId="1A444B91" w:rsidR="00992EC6" w:rsidRPr="00F354FE" w:rsidRDefault="00992EC6" w:rsidP="009028D3">
            <w:pPr>
              <w:tabs>
                <w:tab w:val="left" w:pos="360"/>
                <w:tab w:val="left" w:pos="630"/>
              </w:tabs>
              <w:spacing w:line="360" w:lineRule="auto"/>
              <w:jc w:val="both"/>
              <w:rPr>
                <w:rFonts w:ascii="Arial" w:hAnsi="Arial" w:cs="Arial"/>
                <w:sz w:val="20"/>
                <w:szCs w:val="20"/>
              </w:rPr>
            </w:pPr>
            <w:r>
              <w:rPr>
                <w:rFonts w:ascii="Arial" w:hAnsi="Arial" w:cs="Arial"/>
                <w:sz w:val="20"/>
                <w:szCs w:val="20"/>
              </w:rPr>
              <w:t>Compliance with low-iodine diet</w:t>
            </w:r>
          </w:p>
        </w:tc>
      </w:tr>
      <w:tr w:rsidR="00CE734D" w:rsidRPr="00F354FE" w14:paraId="429C2138" w14:textId="77777777" w:rsidTr="00B01C39">
        <w:trPr>
          <w:trHeight w:val="300"/>
        </w:trPr>
        <w:tc>
          <w:tcPr>
            <w:tcW w:w="8702" w:type="dxa"/>
            <w:noWrap/>
          </w:tcPr>
          <w:p w14:paraId="37D6B2F5" w14:textId="61E69F3C" w:rsidR="00CE734D" w:rsidRPr="00F354FE" w:rsidRDefault="00CE734D" w:rsidP="009028D3">
            <w:pPr>
              <w:tabs>
                <w:tab w:val="left" w:pos="360"/>
                <w:tab w:val="left" w:pos="630"/>
              </w:tabs>
              <w:spacing w:line="360" w:lineRule="auto"/>
              <w:jc w:val="both"/>
              <w:rPr>
                <w:rFonts w:ascii="Arial" w:hAnsi="Arial" w:cs="Arial"/>
                <w:sz w:val="20"/>
                <w:szCs w:val="20"/>
              </w:rPr>
            </w:pPr>
            <w:r w:rsidRPr="00F354FE">
              <w:rPr>
                <w:rFonts w:ascii="Arial" w:hAnsi="Arial" w:cs="Arial"/>
                <w:sz w:val="20"/>
                <w:szCs w:val="20"/>
              </w:rPr>
              <w:t>Appropriate TSH level</w:t>
            </w:r>
          </w:p>
        </w:tc>
      </w:tr>
      <w:tr w:rsidR="00CE734D" w:rsidRPr="00F354FE" w14:paraId="124EFEF5" w14:textId="77777777" w:rsidTr="00B01C39">
        <w:trPr>
          <w:trHeight w:val="300"/>
        </w:trPr>
        <w:tc>
          <w:tcPr>
            <w:tcW w:w="8702" w:type="dxa"/>
            <w:noWrap/>
          </w:tcPr>
          <w:p w14:paraId="64FE7EAF" w14:textId="043FB00E" w:rsidR="00CE734D" w:rsidRPr="00F354FE" w:rsidRDefault="00992EC6" w:rsidP="009028D3">
            <w:pPr>
              <w:tabs>
                <w:tab w:val="left" w:pos="360"/>
                <w:tab w:val="left" w:pos="630"/>
              </w:tabs>
              <w:spacing w:line="360" w:lineRule="auto"/>
              <w:jc w:val="both"/>
              <w:rPr>
                <w:rFonts w:ascii="Arial" w:hAnsi="Arial" w:cs="Arial"/>
                <w:sz w:val="20"/>
                <w:szCs w:val="20"/>
              </w:rPr>
            </w:pPr>
            <w:r>
              <w:rPr>
                <w:rFonts w:ascii="Arial" w:hAnsi="Arial" w:cs="Arial"/>
                <w:sz w:val="20"/>
                <w:szCs w:val="20"/>
              </w:rPr>
              <w:t>Preparation with</w:t>
            </w:r>
            <w:r w:rsidR="00CE734D" w:rsidRPr="00F354FE">
              <w:rPr>
                <w:rFonts w:ascii="Arial" w:hAnsi="Arial" w:cs="Arial"/>
                <w:sz w:val="20"/>
                <w:szCs w:val="20"/>
              </w:rPr>
              <w:t xml:space="preserve"> thyroid hormone withdrawal </w:t>
            </w:r>
            <w:r>
              <w:rPr>
                <w:rFonts w:ascii="Arial" w:hAnsi="Arial" w:cs="Arial"/>
                <w:sz w:val="20"/>
                <w:szCs w:val="20"/>
              </w:rPr>
              <w:t>versus</w:t>
            </w:r>
            <w:r w:rsidR="00CE734D" w:rsidRPr="00F354FE">
              <w:rPr>
                <w:rFonts w:ascii="Arial" w:hAnsi="Arial" w:cs="Arial"/>
                <w:sz w:val="20"/>
                <w:szCs w:val="20"/>
              </w:rPr>
              <w:t xml:space="preserve"> </w:t>
            </w:r>
            <w:proofErr w:type="spellStart"/>
            <w:r w:rsidR="00CE734D" w:rsidRPr="00F354FE">
              <w:rPr>
                <w:rFonts w:ascii="Arial" w:hAnsi="Arial" w:cs="Arial"/>
                <w:sz w:val="20"/>
                <w:szCs w:val="20"/>
              </w:rPr>
              <w:t>rhTSH</w:t>
            </w:r>
            <w:proofErr w:type="spellEnd"/>
          </w:p>
        </w:tc>
      </w:tr>
      <w:tr w:rsidR="00085F2D" w:rsidRPr="00F354FE" w14:paraId="78989AE1" w14:textId="77777777" w:rsidTr="00B01C39">
        <w:trPr>
          <w:trHeight w:val="300"/>
        </w:trPr>
        <w:tc>
          <w:tcPr>
            <w:tcW w:w="8702" w:type="dxa"/>
            <w:noWrap/>
            <w:hideMark/>
          </w:tcPr>
          <w:p w14:paraId="4671034E" w14:textId="4D87C8CD" w:rsidR="00085F2D" w:rsidRPr="00F354FE" w:rsidRDefault="00992EC6" w:rsidP="009028D3">
            <w:pPr>
              <w:tabs>
                <w:tab w:val="left" w:pos="360"/>
                <w:tab w:val="left" w:pos="630"/>
              </w:tabs>
              <w:spacing w:line="360" w:lineRule="auto"/>
              <w:jc w:val="both"/>
              <w:rPr>
                <w:rFonts w:ascii="Arial" w:hAnsi="Arial" w:cs="Arial"/>
                <w:sz w:val="20"/>
                <w:szCs w:val="20"/>
              </w:rPr>
            </w:pPr>
            <w:r>
              <w:rPr>
                <w:rFonts w:ascii="Arial" w:hAnsi="Arial" w:cs="Arial"/>
                <w:sz w:val="20"/>
                <w:szCs w:val="20"/>
              </w:rPr>
              <w:t>Blood sample obtained for</w:t>
            </w:r>
            <w:r w:rsidRPr="00F354FE">
              <w:rPr>
                <w:rFonts w:ascii="Arial" w:hAnsi="Arial" w:cs="Arial"/>
                <w:sz w:val="20"/>
                <w:szCs w:val="20"/>
              </w:rPr>
              <w:t xml:space="preserve"> </w:t>
            </w:r>
            <w:proofErr w:type="spellStart"/>
            <w:r w:rsidR="00CE734D" w:rsidRPr="00F354FE">
              <w:rPr>
                <w:rFonts w:ascii="Arial" w:hAnsi="Arial" w:cs="Arial"/>
                <w:sz w:val="20"/>
                <w:szCs w:val="20"/>
              </w:rPr>
              <w:t>Tg</w:t>
            </w:r>
            <w:proofErr w:type="spellEnd"/>
            <w:r w:rsidR="00CE734D" w:rsidRPr="00F354FE">
              <w:rPr>
                <w:rFonts w:ascii="Arial" w:hAnsi="Arial" w:cs="Arial"/>
                <w:sz w:val="20"/>
                <w:szCs w:val="20"/>
              </w:rPr>
              <w:t xml:space="preserve"> and anti-</w:t>
            </w:r>
            <w:proofErr w:type="spellStart"/>
            <w:r w:rsidR="00CE734D" w:rsidRPr="00F354FE">
              <w:rPr>
                <w:rFonts w:ascii="Arial" w:hAnsi="Arial" w:cs="Arial"/>
                <w:sz w:val="20"/>
                <w:szCs w:val="20"/>
              </w:rPr>
              <w:t>Tg</w:t>
            </w:r>
            <w:proofErr w:type="spellEnd"/>
            <w:r w:rsidR="00CE734D" w:rsidRPr="00F354FE">
              <w:rPr>
                <w:rFonts w:ascii="Arial" w:hAnsi="Arial" w:cs="Arial"/>
                <w:sz w:val="20"/>
                <w:szCs w:val="20"/>
              </w:rPr>
              <w:t xml:space="preserve"> antibody level</w:t>
            </w:r>
          </w:p>
        </w:tc>
      </w:tr>
      <w:tr w:rsidR="000114DB" w:rsidRPr="00F354FE" w14:paraId="1C98D007" w14:textId="77777777" w:rsidTr="00B01C39">
        <w:trPr>
          <w:trHeight w:val="300"/>
        </w:trPr>
        <w:tc>
          <w:tcPr>
            <w:tcW w:w="8702" w:type="dxa"/>
            <w:noWrap/>
          </w:tcPr>
          <w:p w14:paraId="0DC368D1" w14:textId="6F3F2C67" w:rsidR="000114DB" w:rsidRPr="00A71A9C" w:rsidRDefault="000114DB" w:rsidP="0074276B">
            <w:pPr>
              <w:tabs>
                <w:tab w:val="left" w:pos="360"/>
                <w:tab w:val="left" w:pos="630"/>
              </w:tabs>
              <w:jc w:val="both"/>
              <w:rPr>
                <w:rFonts w:ascii="Arial" w:hAnsi="Arial" w:cs="Arial"/>
                <w:sz w:val="20"/>
                <w:szCs w:val="20"/>
              </w:rPr>
            </w:pPr>
            <w:r w:rsidRPr="00F354FE">
              <w:rPr>
                <w:rFonts w:ascii="Arial" w:hAnsi="Arial" w:cs="Arial"/>
                <w:sz w:val="20"/>
                <w:szCs w:val="20"/>
              </w:rPr>
              <w:t>Surgical information (e</w:t>
            </w:r>
            <w:r w:rsidR="00931188">
              <w:rPr>
                <w:rFonts w:ascii="Arial" w:hAnsi="Arial" w:cs="Arial"/>
                <w:sz w:val="20"/>
                <w:szCs w:val="20"/>
              </w:rPr>
              <w:t>.</w:t>
            </w:r>
            <w:r w:rsidRPr="00F354FE">
              <w:rPr>
                <w:rFonts w:ascii="Arial" w:hAnsi="Arial" w:cs="Arial"/>
                <w:sz w:val="20"/>
                <w:szCs w:val="20"/>
              </w:rPr>
              <w:t>g</w:t>
            </w:r>
            <w:r w:rsidR="00931188">
              <w:rPr>
                <w:rFonts w:ascii="Arial" w:hAnsi="Arial" w:cs="Arial"/>
                <w:sz w:val="20"/>
                <w:szCs w:val="20"/>
              </w:rPr>
              <w:t>.</w:t>
            </w:r>
            <w:r w:rsidRPr="00F354FE">
              <w:rPr>
                <w:rFonts w:ascii="Arial" w:hAnsi="Arial" w:cs="Arial"/>
                <w:sz w:val="20"/>
                <w:szCs w:val="20"/>
              </w:rPr>
              <w:t>, total/subtotal thyroidectomy vs. lobectomy, extent of cervical compartments dissected)</w:t>
            </w:r>
          </w:p>
        </w:tc>
      </w:tr>
      <w:tr w:rsidR="00085F2D" w:rsidRPr="00F354FE" w14:paraId="3882F768" w14:textId="77777777" w:rsidTr="00B01C39">
        <w:trPr>
          <w:trHeight w:val="300"/>
        </w:trPr>
        <w:tc>
          <w:tcPr>
            <w:tcW w:w="8702" w:type="dxa"/>
            <w:noWrap/>
            <w:hideMark/>
          </w:tcPr>
          <w:p w14:paraId="57A6E3EE" w14:textId="5399A85E" w:rsidR="00085F2D" w:rsidRPr="001E2195" w:rsidRDefault="00085F2D" w:rsidP="0074276B">
            <w:pPr>
              <w:tabs>
                <w:tab w:val="left" w:pos="360"/>
                <w:tab w:val="left" w:pos="630"/>
              </w:tabs>
              <w:jc w:val="both"/>
              <w:rPr>
                <w:rFonts w:ascii="Arial" w:hAnsi="Arial" w:cs="Arial"/>
                <w:sz w:val="20"/>
                <w:szCs w:val="20"/>
              </w:rPr>
            </w:pPr>
            <w:r w:rsidRPr="00F354FE">
              <w:rPr>
                <w:rFonts w:ascii="Arial" w:hAnsi="Arial" w:cs="Arial"/>
                <w:sz w:val="20"/>
                <w:szCs w:val="20"/>
              </w:rPr>
              <w:t xml:space="preserve">Histopathology (presence/absence of capsular and/or angiolymphatic invasion, extrathyroidal extension, surgical margin status, </w:t>
            </w:r>
            <w:r w:rsidR="00D60C89" w:rsidRPr="00F354FE">
              <w:rPr>
                <w:rFonts w:ascii="Arial" w:hAnsi="Arial" w:cs="Arial"/>
                <w:sz w:val="20"/>
                <w:szCs w:val="20"/>
              </w:rPr>
              <w:t xml:space="preserve">presence/extent of lymph node metastases, </w:t>
            </w:r>
            <w:r w:rsidR="0074276B" w:rsidRPr="00A71A9C">
              <w:rPr>
                <w:rFonts w:ascii="Arial" w:hAnsi="Arial" w:cs="Arial"/>
                <w:sz w:val="20"/>
                <w:szCs w:val="20"/>
              </w:rPr>
              <w:t>and level of cervical compartments involved</w:t>
            </w:r>
            <w:r w:rsidRPr="00A71A9C">
              <w:rPr>
                <w:rFonts w:ascii="Arial" w:hAnsi="Arial" w:cs="Arial"/>
                <w:sz w:val="20"/>
                <w:szCs w:val="20"/>
              </w:rPr>
              <w:t>)</w:t>
            </w:r>
          </w:p>
        </w:tc>
      </w:tr>
      <w:tr w:rsidR="00085F2D" w:rsidRPr="00F354FE" w14:paraId="01593305" w14:textId="77777777" w:rsidTr="00B01C39">
        <w:trPr>
          <w:trHeight w:val="300"/>
        </w:trPr>
        <w:tc>
          <w:tcPr>
            <w:tcW w:w="8702" w:type="dxa"/>
            <w:noWrap/>
            <w:hideMark/>
          </w:tcPr>
          <w:p w14:paraId="135A115F" w14:textId="77777777" w:rsidR="00085F2D" w:rsidRPr="00F354FE" w:rsidRDefault="00085F2D" w:rsidP="009028D3">
            <w:pPr>
              <w:tabs>
                <w:tab w:val="left" w:pos="360"/>
                <w:tab w:val="left" w:pos="630"/>
              </w:tabs>
              <w:spacing w:line="360" w:lineRule="auto"/>
              <w:jc w:val="both"/>
              <w:rPr>
                <w:rFonts w:ascii="Arial" w:hAnsi="Arial" w:cs="Arial"/>
                <w:sz w:val="20"/>
                <w:szCs w:val="20"/>
              </w:rPr>
            </w:pPr>
            <w:r w:rsidRPr="00F354FE">
              <w:rPr>
                <w:rFonts w:ascii="Arial" w:hAnsi="Arial" w:cs="Arial"/>
                <w:sz w:val="20"/>
                <w:szCs w:val="20"/>
              </w:rPr>
              <w:t>Results of prior scintigraphy and/or other pertinent imaging procedures</w:t>
            </w:r>
          </w:p>
        </w:tc>
      </w:tr>
      <w:tr w:rsidR="00085F2D" w:rsidRPr="00F354FE" w14:paraId="65D3B45F" w14:textId="77777777" w:rsidTr="00B01C39">
        <w:trPr>
          <w:trHeight w:val="300"/>
        </w:trPr>
        <w:tc>
          <w:tcPr>
            <w:tcW w:w="8702" w:type="dxa"/>
            <w:noWrap/>
            <w:hideMark/>
          </w:tcPr>
          <w:p w14:paraId="5607018F" w14:textId="76AE5A59" w:rsidR="00085F2D" w:rsidRPr="00F354FE" w:rsidRDefault="000114DB" w:rsidP="009028D3">
            <w:pPr>
              <w:tabs>
                <w:tab w:val="left" w:pos="360"/>
                <w:tab w:val="left" w:pos="630"/>
              </w:tabs>
              <w:spacing w:line="360" w:lineRule="auto"/>
              <w:jc w:val="both"/>
              <w:rPr>
                <w:rFonts w:ascii="Arial" w:hAnsi="Arial" w:cs="Arial"/>
                <w:sz w:val="20"/>
                <w:szCs w:val="20"/>
              </w:rPr>
            </w:pPr>
            <w:r w:rsidRPr="00F354FE">
              <w:rPr>
                <w:rFonts w:ascii="Arial" w:hAnsi="Arial" w:cs="Arial"/>
                <w:sz w:val="20"/>
                <w:szCs w:val="20"/>
              </w:rPr>
              <w:t>History of any prior RAI treatment</w:t>
            </w:r>
          </w:p>
        </w:tc>
      </w:tr>
      <w:tr w:rsidR="00085F2D" w:rsidRPr="00F354FE" w14:paraId="094DE6F3" w14:textId="77777777" w:rsidTr="00B01C39">
        <w:trPr>
          <w:trHeight w:val="300"/>
        </w:trPr>
        <w:tc>
          <w:tcPr>
            <w:tcW w:w="8702" w:type="dxa"/>
            <w:noWrap/>
            <w:hideMark/>
          </w:tcPr>
          <w:p w14:paraId="05BB9B9F" w14:textId="671781A8" w:rsidR="00085F2D" w:rsidRPr="00F354FE" w:rsidRDefault="000114DB" w:rsidP="009028D3">
            <w:pPr>
              <w:tabs>
                <w:tab w:val="left" w:pos="360"/>
                <w:tab w:val="left" w:pos="630"/>
              </w:tabs>
              <w:spacing w:line="360" w:lineRule="auto"/>
              <w:jc w:val="both"/>
              <w:rPr>
                <w:rFonts w:ascii="Arial" w:hAnsi="Arial" w:cs="Arial"/>
                <w:sz w:val="20"/>
                <w:szCs w:val="20"/>
              </w:rPr>
            </w:pPr>
            <w:r w:rsidRPr="00F354FE">
              <w:rPr>
                <w:rFonts w:ascii="Arial" w:hAnsi="Arial" w:cs="Arial"/>
                <w:sz w:val="20"/>
                <w:szCs w:val="20"/>
              </w:rPr>
              <w:t>Physical examination findings</w:t>
            </w:r>
          </w:p>
        </w:tc>
      </w:tr>
      <w:tr w:rsidR="00085F2D" w:rsidRPr="00F354FE" w14:paraId="6E4E5CC8" w14:textId="77777777" w:rsidTr="00B01C39">
        <w:trPr>
          <w:trHeight w:val="300"/>
        </w:trPr>
        <w:tc>
          <w:tcPr>
            <w:tcW w:w="8702" w:type="dxa"/>
            <w:noWrap/>
            <w:hideMark/>
          </w:tcPr>
          <w:p w14:paraId="23D2F003" w14:textId="78C0E863" w:rsidR="00085F2D" w:rsidRPr="00F354FE" w:rsidRDefault="00085F2D" w:rsidP="009028D3">
            <w:pPr>
              <w:tabs>
                <w:tab w:val="left" w:pos="360"/>
                <w:tab w:val="left" w:pos="630"/>
              </w:tabs>
              <w:spacing w:line="360" w:lineRule="auto"/>
              <w:jc w:val="both"/>
              <w:rPr>
                <w:rFonts w:ascii="Arial" w:hAnsi="Arial" w:cs="Arial"/>
                <w:sz w:val="20"/>
                <w:szCs w:val="20"/>
              </w:rPr>
            </w:pPr>
            <w:r w:rsidRPr="00F354FE">
              <w:rPr>
                <w:rFonts w:ascii="Arial" w:hAnsi="Arial" w:cs="Arial"/>
                <w:sz w:val="20"/>
                <w:szCs w:val="20"/>
              </w:rPr>
              <w:t xml:space="preserve">Menstrual and lactation history, negative serum pregnancy test </w:t>
            </w:r>
            <w:r w:rsidR="000C2775" w:rsidRPr="00F354FE">
              <w:rPr>
                <w:rFonts w:ascii="Arial" w:hAnsi="Arial" w:cs="Arial"/>
                <w:sz w:val="20"/>
                <w:szCs w:val="20"/>
              </w:rPr>
              <w:t>prior to</w:t>
            </w:r>
            <w:r w:rsidRPr="00F354FE">
              <w:rPr>
                <w:rFonts w:ascii="Arial" w:hAnsi="Arial" w:cs="Arial"/>
                <w:sz w:val="20"/>
                <w:szCs w:val="20"/>
              </w:rPr>
              <w:t xml:space="preserve"> RAI administration</w:t>
            </w:r>
          </w:p>
        </w:tc>
      </w:tr>
    </w:tbl>
    <w:p w14:paraId="15286117" w14:textId="77777777" w:rsidR="009028D3" w:rsidRPr="002369BD" w:rsidRDefault="009028D3" w:rsidP="009028D3">
      <w:pPr>
        <w:tabs>
          <w:tab w:val="left" w:pos="360"/>
          <w:tab w:val="left" w:pos="630"/>
        </w:tabs>
        <w:spacing w:after="0" w:line="360" w:lineRule="auto"/>
        <w:jc w:val="both"/>
        <w:rPr>
          <w:rFonts w:ascii="Arial" w:hAnsi="Arial" w:cs="Arial"/>
          <w:b/>
          <w:sz w:val="24"/>
          <w:szCs w:val="24"/>
        </w:rPr>
        <w:sectPr w:rsidR="009028D3" w:rsidRPr="002369BD" w:rsidSect="00F354FE">
          <w:type w:val="continuous"/>
          <w:pgSz w:w="12240" w:h="15840"/>
          <w:pgMar w:top="1440" w:right="1440" w:bottom="1440" w:left="1440" w:header="720" w:footer="720" w:gutter="0"/>
          <w:cols w:space="720"/>
          <w:noEndnote/>
          <w:docGrid w:linePitch="299"/>
        </w:sectPr>
      </w:pPr>
    </w:p>
    <w:p w14:paraId="333B0DDF" w14:textId="38D9C35C" w:rsidR="000114DB" w:rsidRPr="002369BD" w:rsidRDefault="00EE799C" w:rsidP="009028D3">
      <w:pPr>
        <w:tabs>
          <w:tab w:val="left" w:pos="360"/>
          <w:tab w:val="left" w:pos="630"/>
        </w:tabs>
        <w:spacing w:after="0" w:line="360" w:lineRule="auto"/>
        <w:jc w:val="both"/>
        <w:rPr>
          <w:rFonts w:ascii="Arial" w:hAnsi="Arial" w:cs="Arial"/>
          <w:sz w:val="24"/>
          <w:szCs w:val="24"/>
        </w:rPr>
      </w:pPr>
      <w:r w:rsidRPr="002369BD">
        <w:rPr>
          <w:rFonts w:ascii="Arial" w:hAnsi="Arial" w:cs="Arial"/>
          <w:b/>
          <w:sz w:val="24"/>
          <w:szCs w:val="24"/>
        </w:rPr>
        <w:t xml:space="preserve">C. </w:t>
      </w:r>
      <w:r w:rsidR="00B01C39" w:rsidRPr="002369BD">
        <w:rPr>
          <w:rFonts w:ascii="Arial" w:hAnsi="Arial" w:cs="Arial"/>
          <w:b/>
          <w:sz w:val="24"/>
          <w:szCs w:val="24"/>
        </w:rPr>
        <w:t xml:space="preserve"> </w:t>
      </w:r>
      <w:r w:rsidRPr="002369BD">
        <w:rPr>
          <w:rFonts w:ascii="Arial" w:hAnsi="Arial" w:cs="Arial"/>
          <w:b/>
          <w:sz w:val="24"/>
          <w:szCs w:val="24"/>
        </w:rPr>
        <w:t>Precautions</w:t>
      </w:r>
      <w:r w:rsidR="00C31309" w:rsidRPr="002369BD">
        <w:rPr>
          <w:rFonts w:ascii="Arial" w:hAnsi="Arial" w:cs="Arial"/>
          <w:b/>
          <w:sz w:val="24"/>
          <w:szCs w:val="24"/>
        </w:rPr>
        <w:t>/Contraindications</w:t>
      </w:r>
    </w:p>
    <w:p w14:paraId="5B569837" w14:textId="43A600EA" w:rsidR="00D6228D" w:rsidRPr="002369BD" w:rsidRDefault="001D05E3"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0114DB" w:rsidRPr="002369BD">
        <w:rPr>
          <w:rFonts w:ascii="Arial" w:hAnsi="Arial" w:cs="Arial"/>
          <w:sz w:val="24"/>
          <w:szCs w:val="24"/>
          <w:u w:val="single"/>
        </w:rPr>
        <w:t>Pregnancy/Breastfeeding</w:t>
      </w:r>
      <w:r w:rsidR="00D6228D" w:rsidRPr="002369BD">
        <w:rPr>
          <w:rFonts w:ascii="Arial" w:hAnsi="Arial" w:cs="Arial"/>
          <w:sz w:val="24"/>
          <w:szCs w:val="24"/>
        </w:rPr>
        <w:t>:</w:t>
      </w:r>
    </w:p>
    <w:p w14:paraId="72978586" w14:textId="29ED7C59" w:rsidR="00D6228D" w:rsidRPr="002369BD" w:rsidRDefault="00D6228D" w:rsidP="00232BDE">
      <w:pPr>
        <w:pStyle w:val="ListParagraph"/>
        <w:numPr>
          <w:ilvl w:val="0"/>
          <w:numId w:val="11"/>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lastRenderedPageBreak/>
        <w:t xml:space="preserve">Urine pregnancy test: </w:t>
      </w:r>
      <w:r w:rsidRPr="002369BD">
        <w:rPr>
          <w:rFonts w:ascii="Arial" w:hAnsi="Arial" w:cs="Arial"/>
          <w:sz w:val="24"/>
          <w:szCs w:val="24"/>
        </w:rPr>
        <w:t xml:space="preserve">On the day of scheduled </w:t>
      </w:r>
      <w:r w:rsidR="00D143FB" w:rsidRPr="002369BD">
        <w:rPr>
          <w:rFonts w:ascii="Arial" w:hAnsi="Arial" w:cs="Arial"/>
          <w:sz w:val="24"/>
          <w:szCs w:val="24"/>
        </w:rPr>
        <w:t>131I NaI</w:t>
      </w:r>
      <w:r w:rsidRPr="002369BD">
        <w:rPr>
          <w:rFonts w:ascii="Arial" w:hAnsi="Arial" w:cs="Arial"/>
          <w:sz w:val="24"/>
          <w:szCs w:val="24"/>
        </w:rPr>
        <w:t xml:space="preserve"> administration</w:t>
      </w:r>
      <w:r w:rsidR="00E20EF4">
        <w:rPr>
          <w:rFonts w:ascii="Arial" w:hAnsi="Arial" w:cs="Arial"/>
          <w:sz w:val="24"/>
          <w:szCs w:val="24"/>
        </w:rPr>
        <w:t xml:space="preserve"> f</w:t>
      </w:r>
      <w:r w:rsidR="00E20EF4" w:rsidRPr="00E20EF4">
        <w:rPr>
          <w:rFonts w:ascii="Arial" w:hAnsi="Arial" w:cs="Arial"/>
          <w:sz w:val="24"/>
          <w:szCs w:val="24"/>
        </w:rPr>
        <w:t>or females 12 – 55 years old, unless there is clear documentation that pregnancy cannot be possible (e.g., previous bilateral oophorectomy).</w:t>
      </w:r>
      <w:r w:rsidRPr="002369BD">
        <w:rPr>
          <w:rFonts w:ascii="Arial" w:hAnsi="Arial" w:cs="Arial"/>
          <w:sz w:val="24"/>
          <w:szCs w:val="24"/>
        </w:rPr>
        <w:t>, a urine</w:t>
      </w:r>
      <w:r w:rsidR="00894489">
        <w:rPr>
          <w:rFonts w:ascii="Arial" w:hAnsi="Arial" w:cs="Arial"/>
          <w:sz w:val="24"/>
          <w:szCs w:val="24"/>
        </w:rPr>
        <w:t xml:space="preserve"> or serum</w:t>
      </w:r>
      <w:r w:rsidRPr="002369BD">
        <w:rPr>
          <w:rFonts w:ascii="Arial" w:hAnsi="Arial" w:cs="Arial"/>
          <w:sz w:val="24"/>
          <w:szCs w:val="24"/>
        </w:rPr>
        <w:t xml:space="preserve"> pregnancy test is recommended</w:t>
      </w:r>
      <w:r w:rsidR="00D143FB" w:rsidRPr="002369BD">
        <w:rPr>
          <w:rFonts w:ascii="Arial" w:hAnsi="Arial" w:cs="Arial"/>
          <w:sz w:val="24"/>
          <w:szCs w:val="24"/>
        </w:rPr>
        <w:t xml:space="preserve"> in addition to clinical history to verify </w:t>
      </w:r>
      <w:r w:rsidR="00BD2BCA" w:rsidRPr="002369BD">
        <w:rPr>
          <w:rFonts w:ascii="Arial" w:hAnsi="Arial" w:cs="Arial"/>
          <w:sz w:val="24"/>
          <w:szCs w:val="24"/>
        </w:rPr>
        <w:t>absence of pregnancy</w:t>
      </w:r>
      <w:r w:rsidR="00D143FB" w:rsidRPr="002369BD">
        <w:rPr>
          <w:rFonts w:ascii="Arial" w:hAnsi="Arial" w:cs="Arial"/>
          <w:sz w:val="24"/>
          <w:szCs w:val="24"/>
        </w:rPr>
        <w:t>.</w:t>
      </w:r>
    </w:p>
    <w:p w14:paraId="6ED42F69" w14:textId="3F2AE80F" w:rsidR="00D6228D" w:rsidRPr="002369BD" w:rsidRDefault="00D6228D" w:rsidP="00232BDE">
      <w:pPr>
        <w:pStyle w:val="ListParagraph"/>
        <w:numPr>
          <w:ilvl w:val="0"/>
          <w:numId w:val="11"/>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 xml:space="preserve">Pregnancy after RAI administration: </w:t>
      </w:r>
      <w:r w:rsidRPr="002369BD">
        <w:rPr>
          <w:rFonts w:ascii="Arial" w:hAnsi="Arial" w:cs="Arial"/>
          <w:sz w:val="24"/>
          <w:szCs w:val="24"/>
        </w:rPr>
        <w:t>Patients should be advised to av</w:t>
      </w:r>
      <w:r w:rsidR="000114DB" w:rsidRPr="002369BD">
        <w:rPr>
          <w:rFonts w:ascii="Arial" w:hAnsi="Arial" w:cs="Arial"/>
          <w:sz w:val="24"/>
          <w:szCs w:val="24"/>
        </w:rPr>
        <w:t xml:space="preserve">oid pregnancy for at least 6 months after 131I NaI administration.  </w:t>
      </w:r>
    </w:p>
    <w:p w14:paraId="1020B4FD" w14:textId="62615CB7" w:rsidR="00D6228D" w:rsidRPr="002369BD" w:rsidRDefault="00B43004" w:rsidP="00232BDE">
      <w:pPr>
        <w:pStyle w:val="ListParagraph"/>
        <w:numPr>
          <w:ilvl w:val="0"/>
          <w:numId w:val="11"/>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 xml:space="preserve">Breastfeeding prior to RAI administration: </w:t>
      </w:r>
      <w:r w:rsidRPr="002369BD">
        <w:rPr>
          <w:rFonts w:ascii="Arial" w:hAnsi="Arial" w:cs="Arial"/>
          <w:sz w:val="24"/>
          <w:szCs w:val="24"/>
        </w:rPr>
        <w:t>To</w:t>
      </w:r>
      <w:r w:rsidR="000114DB" w:rsidRPr="002369BD">
        <w:rPr>
          <w:rFonts w:ascii="Arial" w:hAnsi="Arial" w:cs="Arial"/>
          <w:sz w:val="24"/>
          <w:szCs w:val="24"/>
        </w:rPr>
        <w:t xml:space="preserve"> allow for breast tissue involution and minimize 131I </w:t>
      </w:r>
      <w:r w:rsidR="00CF491E" w:rsidRPr="002369BD">
        <w:rPr>
          <w:rFonts w:ascii="Arial" w:hAnsi="Arial" w:cs="Arial"/>
          <w:sz w:val="24"/>
          <w:szCs w:val="24"/>
        </w:rPr>
        <w:t xml:space="preserve">NaI </w:t>
      </w:r>
      <w:r w:rsidR="000114DB" w:rsidRPr="002369BD">
        <w:rPr>
          <w:rFonts w:ascii="Arial" w:hAnsi="Arial" w:cs="Arial"/>
          <w:sz w:val="24"/>
          <w:szCs w:val="24"/>
        </w:rPr>
        <w:t xml:space="preserve">uptake and radiation absorbed dose to the </w:t>
      </w:r>
      <w:r w:rsidR="00C31309" w:rsidRPr="002369BD">
        <w:rPr>
          <w:rFonts w:ascii="Arial" w:hAnsi="Arial" w:cs="Arial"/>
          <w:sz w:val="24"/>
          <w:szCs w:val="24"/>
        </w:rPr>
        <w:t xml:space="preserve">maternal </w:t>
      </w:r>
      <w:r w:rsidR="000114DB" w:rsidRPr="002369BD">
        <w:rPr>
          <w:rFonts w:ascii="Arial" w:hAnsi="Arial" w:cs="Arial"/>
          <w:sz w:val="24"/>
          <w:szCs w:val="24"/>
        </w:rPr>
        <w:t>breast</w:t>
      </w:r>
      <w:r w:rsidR="00C31309" w:rsidRPr="002369BD">
        <w:rPr>
          <w:rFonts w:ascii="Arial" w:hAnsi="Arial" w:cs="Arial"/>
          <w:sz w:val="24"/>
          <w:szCs w:val="24"/>
        </w:rPr>
        <w:t xml:space="preserve"> as well as to prevent the nursing child from ingesting radioactive breast milk</w:t>
      </w:r>
      <w:r w:rsidR="000114DB" w:rsidRPr="002369BD">
        <w:rPr>
          <w:rFonts w:ascii="Arial" w:hAnsi="Arial" w:cs="Arial"/>
          <w:sz w:val="24"/>
          <w:szCs w:val="24"/>
        </w:rPr>
        <w:t xml:space="preserve">, breastfeeding should be discontinued for </w:t>
      </w:r>
      <w:r w:rsidR="00E84239" w:rsidRPr="002369BD">
        <w:rPr>
          <w:rFonts w:ascii="Arial" w:hAnsi="Arial" w:cs="Arial"/>
          <w:sz w:val="24"/>
          <w:szCs w:val="24"/>
        </w:rPr>
        <w:t>at least 6 weeks</w:t>
      </w:r>
      <w:r w:rsidR="000114DB" w:rsidRPr="002369BD">
        <w:rPr>
          <w:rFonts w:ascii="Arial" w:hAnsi="Arial" w:cs="Arial"/>
          <w:sz w:val="24"/>
          <w:szCs w:val="24"/>
        </w:rPr>
        <w:t xml:space="preserve"> </w:t>
      </w:r>
      <w:r w:rsidR="0074276B" w:rsidRPr="002369BD">
        <w:rPr>
          <w:rFonts w:ascii="Arial" w:hAnsi="Arial" w:cs="Arial"/>
          <w:sz w:val="24"/>
          <w:szCs w:val="24"/>
        </w:rPr>
        <w:t xml:space="preserve">(but preferably </w:t>
      </w:r>
      <w:r w:rsidR="000436DB" w:rsidRPr="002369BD">
        <w:rPr>
          <w:rFonts w:ascii="Arial" w:hAnsi="Arial" w:cs="Arial"/>
          <w:sz w:val="24"/>
          <w:szCs w:val="24"/>
        </w:rPr>
        <w:t>for</w:t>
      </w:r>
      <w:r w:rsidR="0074276B" w:rsidRPr="002369BD">
        <w:rPr>
          <w:rFonts w:ascii="Arial" w:hAnsi="Arial" w:cs="Arial"/>
          <w:sz w:val="24"/>
          <w:szCs w:val="24"/>
        </w:rPr>
        <w:t xml:space="preserve"> 3 to 6 months) </w:t>
      </w:r>
      <w:r w:rsidR="000114DB" w:rsidRPr="002369BD">
        <w:rPr>
          <w:rFonts w:ascii="Arial" w:hAnsi="Arial" w:cs="Arial"/>
          <w:sz w:val="24"/>
          <w:szCs w:val="24"/>
        </w:rPr>
        <w:t xml:space="preserve">prior to RAI administration.  </w:t>
      </w:r>
    </w:p>
    <w:p w14:paraId="5FDA9541" w14:textId="4B23BE9D" w:rsidR="00CB456E" w:rsidRPr="002369BD" w:rsidRDefault="00D6228D" w:rsidP="00232BDE">
      <w:pPr>
        <w:pStyle w:val="ListParagraph"/>
        <w:numPr>
          <w:ilvl w:val="0"/>
          <w:numId w:val="11"/>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 xml:space="preserve">Breastfeeding after RAI administration: </w:t>
      </w:r>
      <w:r w:rsidRPr="002369BD">
        <w:rPr>
          <w:rFonts w:ascii="Arial" w:hAnsi="Arial" w:cs="Arial"/>
          <w:sz w:val="24"/>
          <w:szCs w:val="24"/>
        </w:rPr>
        <w:t>After I131 NaI administration</w:t>
      </w:r>
      <w:r w:rsidR="000114DB" w:rsidRPr="002369BD">
        <w:rPr>
          <w:rFonts w:ascii="Arial" w:hAnsi="Arial" w:cs="Arial"/>
          <w:sz w:val="24"/>
          <w:szCs w:val="24"/>
        </w:rPr>
        <w:t xml:space="preserve">, breastfeeding </w:t>
      </w:r>
      <w:r w:rsidR="00BD2BCA" w:rsidRPr="002369BD">
        <w:rPr>
          <w:rFonts w:ascii="Arial" w:hAnsi="Arial" w:cs="Arial"/>
          <w:sz w:val="24"/>
          <w:szCs w:val="24"/>
        </w:rPr>
        <w:t xml:space="preserve">must </w:t>
      </w:r>
      <w:r w:rsidRPr="002369BD">
        <w:rPr>
          <w:rFonts w:ascii="Arial" w:hAnsi="Arial" w:cs="Arial"/>
          <w:sz w:val="24"/>
          <w:szCs w:val="24"/>
        </w:rPr>
        <w:t>be discontinued</w:t>
      </w:r>
      <w:r w:rsidR="00FE3BCE" w:rsidRPr="002369BD">
        <w:rPr>
          <w:rFonts w:ascii="Arial" w:hAnsi="Arial" w:cs="Arial"/>
          <w:sz w:val="24"/>
          <w:szCs w:val="24"/>
        </w:rPr>
        <w:t>.  It</w:t>
      </w:r>
      <w:r w:rsidRPr="002369BD">
        <w:rPr>
          <w:rFonts w:ascii="Arial" w:hAnsi="Arial" w:cs="Arial"/>
          <w:sz w:val="24"/>
          <w:szCs w:val="24"/>
        </w:rPr>
        <w:t xml:space="preserve"> can be resumed </w:t>
      </w:r>
      <w:r w:rsidR="000114DB" w:rsidRPr="002369BD">
        <w:rPr>
          <w:rFonts w:ascii="Arial" w:hAnsi="Arial" w:cs="Arial"/>
          <w:sz w:val="24"/>
          <w:szCs w:val="24"/>
        </w:rPr>
        <w:t xml:space="preserve">after the birth of </w:t>
      </w:r>
      <w:r w:rsidRPr="002369BD">
        <w:rPr>
          <w:rFonts w:ascii="Arial" w:hAnsi="Arial" w:cs="Arial"/>
          <w:sz w:val="24"/>
          <w:szCs w:val="24"/>
        </w:rPr>
        <w:t>another</w:t>
      </w:r>
      <w:r w:rsidR="000114DB" w:rsidRPr="002369BD">
        <w:rPr>
          <w:rFonts w:ascii="Arial" w:hAnsi="Arial" w:cs="Arial"/>
          <w:sz w:val="24"/>
          <w:szCs w:val="24"/>
        </w:rPr>
        <w:t xml:space="preserve"> child</w:t>
      </w:r>
      <w:r w:rsidR="00D766BB" w:rsidRPr="002369BD">
        <w:rPr>
          <w:rFonts w:ascii="Arial" w:hAnsi="Arial" w:cs="Arial"/>
          <w:sz w:val="24"/>
          <w:szCs w:val="24"/>
        </w:rPr>
        <w:t>.</w:t>
      </w:r>
      <w:r w:rsidRPr="002369BD">
        <w:rPr>
          <w:rFonts w:ascii="Arial" w:hAnsi="Arial" w:cs="Arial"/>
          <w:sz w:val="24"/>
          <w:szCs w:val="24"/>
        </w:rPr>
        <w:t xml:space="preserve">  If</w:t>
      </w:r>
      <w:r w:rsidR="000114DB" w:rsidRPr="002369BD">
        <w:rPr>
          <w:rFonts w:ascii="Arial" w:hAnsi="Arial" w:cs="Arial"/>
          <w:sz w:val="24"/>
          <w:szCs w:val="24"/>
        </w:rPr>
        <w:t xml:space="preserve"> </w:t>
      </w:r>
      <w:r w:rsidR="00D803D1" w:rsidRPr="002369BD">
        <w:rPr>
          <w:rFonts w:ascii="Arial" w:hAnsi="Arial" w:cs="Arial"/>
          <w:sz w:val="24"/>
          <w:szCs w:val="24"/>
        </w:rPr>
        <w:t>123</w:t>
      </w:r>
      <w:r w:rsidR="000114DB" w:rsidRPr="002369BD">
        <w:rPr>
          <w:rFonts w:ascii="Arial" w:hAnsi="Arial" w:cs="Arial"/>
          <w:sz w:val="24"/>
          <w:szCs w:val="24"/>
        </w:rPr>
        <w:t>I NaI is given</w:t>
      </w:r>
      <w:r w:rsidRPr="002369BD">
        <w:rPr>
          <w:rFonts w:ascii="Arial" w:hAnsi="Arial" w:cs="Arial"/>
          <w:sz w:val="24"/>
          <w:szCs w:val="24"/>
        </w:rPr>
        <w:t xml:space="preserve">, breastfeeding can be resumed </w:t>
      </w:r>
      <w:r w:rsidR="00894489">
        <w:rPr>
          <w:rFonts w:ascii="Arial" w:hAnsi="Arial" w:cs="Arial"/>
          <w:sz w:val="24"/>
          <w:szCs w:val="24"/>
        </w:rPr>
        <w:t>72</w:t>
      </w:r>
      <w:r w:rsidR="00894489" w:rsidRPr="002369BD">
        <w:rPr>
          <w:rFonts w:ascii="Arial" w:hAnsi="Arial" w:cs="Arial"/>
          <w:sz w:val="24"/>
          <w:szCs w:val="24"/>
        </w:rPr>
        <w:t xml:space="preserve"> </w:t>
      </w:r>
      <w:r w:rsidRPr="002369BD">
        <w:rPr>
          <w:rFonts w:ascii="Arial" w:hAnsi="Arial" w:cs="Arial"/>
          <w:sz w:val="24"/>
          <w:szCs w:val="24"/>
        </w:rPr>
        <w:t xml:space="preserve">hours later. </w:t>
      </w:r>
      <w:r w:rsidR="00AE36A0">
        <w:rPr>
          <w:rFonts w:ascii="Arial" w:hAnsi="Arial" w:cs="Arial"/>
          <w:sz w:val="24"/>
          <w:szCs w:val="24"/>
        </w:rPr>
        <w:t xml:space="preserve"> </w:t>
      </w:r>
      <w:r w:rsidR="00894489">
        <w:rPr>
          <w:rFonts w:ascii="Arial" w:hAnsi="Arial" w:cs="Arial"/>
          <w:sz w:val="24"/>
          <w:szCs w:val="24"/>
        </w:rPr>
        <w:t>For FDG, b</w:t>
      </w:r>
      <w:r w:rsidR="0036408F" w:rsidRPr="002369BD">
        <w:rPr>
          <w:rFonts w:ascii="Arial" w:hAnsi="Arial" w:cs="Arial"/>
          <w:sz w:val="24"/>
          <w:szCs w:val="24"/>
        </w:rPr>
        <w:t xml:space="preserve">reastfeeding </w:t>
      </w:r>
      <w:r w:rsidR="00894489">
        <w:rPr>
          <w:rFonts w:ascii="Arial" w:hAnsi="Arial" w:cs="Arial"/>
          <w:sz w:val="24"/>
          <w:szCs w:val="24"/>
        </w:rPr>
        <w:t>should</w:t>
      </w:r>
      <w:r w:rsidR="0036408F" w:rsidRPr="002369BD">
        <w:rPr>
          <w:rFonts w:ascii="Arial" w:hAnsi="Arial" w:cs="Arial"/>
          <w:sz w:val="24"/>
          <w:szCs w:val="24"/>
        </w:rPr>
        <w:t xml:space="preserve"> be discontinued for </w:t>
      </w:r>
      <w:r w:rsidR="00894489">
        <w:rPr>
          <w:rFonts w:ascii="Arial" w:hAnsi="Arial" w:cs="Arial"/>
          <w:sz w:val="24"/>
          <w:szCs w:val="24"/>
        </w:rPr>
        <w:t>4 hours</w:t>
      </w:r>
      <w:r w:rsidR="000436DB" w:rsidRPr="002369BD">
        <w:rPr>
          <w:rFonts w:ascii="Arial" w:hAnsi="Arial" w:cs="Arial"/>
          <w:sz w:val="24"/>
          <w:szCs w:val="24"/>
        </w:rPr>
        <w:t xml:space="preserve">. </w:t>
      </w:r>
    </w:p>
    <w:p w14:paraId="7274F2E9" w14:textId="16DAFD8E" w:rsidR="00995FD6" w:rsidRPr="002369BD" w:rsidRDefault="00995FD6" w:rsidP="009028D3">
      <w:pPr>
        <w:tabs>
          <w:tab w:val="left" w:pos="360"/>
          <w:tab w:val="left" w:pos="630"/>
        </w:tabs>
        <w:spacing w:after="0" w:line="360" w:lineRule="auto"/>
        <w:jc w:val="both"/>
        <w:rPr>
          <w:rFonts w:ascii="Arial" w:hAnsi="Arial" w:cs="Arial"/>
          <w:sz w:val="24"/>
          <w:szCs w:val="24"/>
        </w:rPr>
      </w:pPr>
    </w:p>
    <w:p w14:paraId="01EB6114" w14:textId="771371F0" w:rsidR="001741B8" w:rsidRPr="002369BD" w:rsidRDefault="00897502" w:rsidP="00232BDE">
      <w:pPr>
        <w:pStyle w:val="ListParagraph"/>
        <w:numPr>
          <w:ilvl w:val="0"/>
          <w:numId w:val="6"/>
        </w:numPr>
        <w:tabs>
          <w:tab w:val="left" w:pos="360"/>
          <w:tab w:val="left" w:pos="630"/>
        </w:tabs>
        <w:spacing w:after="0" w:line="360" w:lineRule="auto"/>
        <w:ind w:left="0" w:firstLine="0"/>
        <w:jc w:val="both"/>
        <w:rPr>
          <w:rFonts w:ascii="Arial" w:hAnsi="Arial" w:cs="Arial"/>
          <w:b/>
          <w:bCs/>
          <w:sz w:val="24"/>
          <w:szCs w:val="24"/>
        </w:rPr>
      </w:pPr>
      <w:r w:rsidRPr="002369BD">
        <w:rPr>
          <w:rFonts w:ascii="Arial" w:hAnsi="Arial" w:cs="Arial"/>
          <w:b/>
          <w:bCs/>
          <w:sz w:val="24"/>
          <w:szCs w:val="24"/>
        </w:rPr>
        <w:t xml:space="preserve">Radiopharmaceuticals </w:t>
      </w:r>
      <w:r w:rsidR="00D2700E" w:rsidRPr="002369BD">
        <w:rPr>
          <w:rFonts w:ascii="Arial" w:hAnsi="Arial" w:cs="Arial"/>
          <w:b/>
          <w:bCs/>
          <w:sz w:val="24"/>
          <w:szCs w:val="24"/>
        </w:rPr>
        <w:t>and Dosage</w:t>
      </w:r>
      <w:r w:rsidR="003E0B99" w:rsidRPr="002369BD">
        <w:rPr>
          <w:rFonts w:ascii="Arial" w:hAnsi="Arial" w:cs="Arial"/>
          <w:b/>
          <w:bCs/>
          <w:sz w:val="24"/>
          <w:szCs w:val="24"/>
        </w:rPr>
        <w:t xml:space="preserve"> </w:t>
      </w:r>
    </w:p>
    <w:p w14:paraId="0B7315B8" w14:textId="42FBFAA4" w:rsidR="00FF6F16" w:rsidRPr="002369BD" w:rsidRDefault="001D05E3"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FF6F16" w:rsidRPr="002369BD">
        <w:rPr>
          <w:rFonts w:ascii="Arial" w:hAnsi="Arial" w:cs="Arial"/>
          <w:sz w:val="24"/>
          <w:szCs w:val="24"/>
        </w:rPr>
        <w:t>The following are recommended diagnostic imaging dosages:</w:t>
      </w:r>
    </w:p>
    <w:p w14:paraId="54D5EACC" w14:textId="3FC54C76" w:rsidR="00166EF0" w:rsidRPr="002369BD" w:rsidRDefault="001D05E3"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166EF0" w:rsidRPr="002369BD">
        <w:rPr>
          <w:rFonts w:ascii="Arial" w:hAnsi="Arial" w:cs="Arial"/>
          <w:sz w:val="24"/>
          <w:szCs w:val="24"/>
          <w:u w:val="single"/>
        </w:rPr>
        <w:t>Oral 131I NaI:</w:t>
      </w:r>
      <w:r w:rsidR="002A042F" w:rsidRPr="002369BD">
        <w:rPr>
          <w:rFonts w:ascii="Arial" w:hAnsi="Arial" w:cs="Arial"/>
          <w:sz w:val="24"/>
          <w:szCs w:val="24"/>
        </w:rPr>
        <w:t xml:space="preserve">  </w:t>
      </w:r>
      <w:r w:rsidR="00FE3BCE" w:rsidRPr="002369BD">
        <w:rPr>
          <w:rFonts w:ascii="Arial" w:hAnsi="Arial" w:cs="Arial"/>
          <w:sz w:val="24"/>
          <w:szCs w:val="24"/>
        </w:rPr>
        <w:t>F</w:t>
      </w:r>
      <w:r w:rsidR="00FF6F16" w:rsidRPr="002369BD">
        <w:rPr>
          <w:rFonts w:ascii="Arial" w:hAnsi="Arial" w:cs="Arial"/>
          <w:sz w:val="24"/>
          <w:szCs w:val="24"/>
        </w:rPr>
        <w:t>or diagnostic imaging</w:t>
      </w:r>
      <w:r w:rsidR="00A633A3" w:rsidRPr="002369BD">
        <w:rPr>
          <w:rFonts w:ascii="Arial" w:hAnsi="Arial" w:cs="Arial"/>
          <w:sz w:val="24"/>
          <w:szCs w:val="24"/>
        </w:rPr>
        <w:t>,</w:t>
      </w:r>
      <w:r w:rsidR="00060C6F" w:rsidRPr="002369BD">
        <w:rPr>
          <w:rFonts w:ascii="Arial" w:hAnsi="Arial" w:cs="Arial"/>
          <w:sz w:val="24"/>
          <w:szCs w:val="24"/>
        </w:rPr>
        <w:t xml:space="preserve"> </w:t>
      </w:r>
      <w:r w:rsidR="00315373" w:rsidRPr="002369BD">
        <w:rPr>
          <w:rFonts w:ascii="Arial" w:hAnsi="Arial" w:cs="Arial"/>
          <w:sz w:val="24"/>
          <w:szCs w:val="24"/>
        </w:rPr>
        <w:t>37-148 MBq (</w:t>
      </w:r>
      <w:r w:rsidR="00060C6F" w:rsidRPr="002369BD">
        <w:rPr>
          <w:rFonts w:ascii="Arial" w:hAnsi="Arial" w:cs="Arial"/>
          <w:sz w:val="24"/>
          <w:szCs w:val="24"/>
        </w:rPr>
        <w:t>1–</w:t>
      </w:r>
      <w:r w:rsidR="00C30776" w:rsidRPr="002369BD">
        <w:rPr>
          <w:rFonts w:ascii="Arial" w:hAnsi="Arial" w:cs="Arial"/>
          <w:sz w:val="24"/>
          <w:szCs w:val="24"/>
        </w:rPr>
        <w:t>4</w:t>
      </w:r>
      <w:r w:rsidR="00060C6F" w:rsidRPr="002369BD">
        <w:rPr>
          <w:rFonts w:ascii="Arial" w:hAnsi="Arial" w:cs="Arial"/>
          <w:sz w:val="24"/>
          <w:szCs w:val="24"/>
        </w:rPr>
        <w:t xml:space="preserve"> mCi</w:t>
      </w:r>
      <w:r w:rsidR="00315373" w:rsidRPr="002369BD">
        <w:rPr>
          <w:rFonts w:ascii="Arial" w:hAnsi="Arial" w:cs="Arial"/>
          <w:sz w:val="24"/>
          <w:szCs w:val="24"/>
        </w:rPr>
        <w:t>)</w:t>
      </w:r>
      <w:r w:rsidR="00060C6F" w:rsidRPr="002369BD">
        <w:rPr>
          <w:rFonts w:ascii="Arial" w:hAnsi="Arial" w:cs="Arial"/>
          <w:sz w:val="24"/>
          <w:szCs w:val="24"/>
        </w:rPr>
        <w:t xml:space="preserve"> </w:t>
      </w:r>
      <w:r w:rsidR="00A633A3" w:rsidRPr="002369BD">
        <w:rPr>
          <w:rFonts w:ascii="Arial" w:hAnsi="Arial" w:cs="Arial"/>
          <w:sz w:val="24"/>
          <w:szCs w:val="24"/>
        </w:rPr>
        <w:t xml:space="preserve">is given </w:t>
      </w:r>
      <w:r w:rsidR="00060C6F" w:rsidRPr="002369BD">
        <w:rPr>
          <w:rFonts w:ascii="Arial" w:hAnsi="Arial" w:cs="Arial"/>
          <w:sz w:val="24"/>
          <w:szCs w:val="24"/>
        </w:rPr>
        <w:t xml:space="preserve">with many preferring a range of </w:t>
      </w:r>
      <w:r w:rsidR="00315373" w:rsidRPr="002369BD">
        <w:rPr>
          <w:rFonts w:ascii="Arial" w:hAnsi="Arial" w:cs="Arial"/>
          <w:sz w:val="24"/>
          <w:szCs w:val="24"/>
        </w:rPr>
        <w:t>37-74 MBq (</w:t>
      </w:r>
      <w:r w:rsidR="00060C6F" w:rsidRPr="002369BD">
        <w:rPr>
          <w:rFonts w:ascii="Arial" w:hAnsi="Arial" w:cs="Arial"/>
          <w:sz w:val="24"/>
          <w:szCs w:val="24"/>
        </w:rPr>
        <w:t>1–2 mCi</w:t>
      </w:r>
      <w:r w:rsidR="00315373" w:rsidRPr="002369BD">
        <w:rPr>
          <w:rFonts w:ascii="Arial" w:hAnsi="Arial" w:cs="Arial"/>
          <w:sz w:val="24"/>
          <w:szCs w:val="24"/>
        </w:rPr>
        <w:t>)</w:t>
      </w:r>
      <w:r w:rsidR="00060C6F" w:rsidRPr="002369BD">
        <w:rPr>
          <w:rFonts w:ascii="Arial" w:hAnsi="Arial" w:cs="Arial"/>
          <w:sz w:val="24"/>
          <w:szCs w:val="24"/>
        </w:rPr>
        <w:t xml:space="preserve"> because of data suggesting that stunning (decreased uptake of the therapy dose of 131I NaI by residual functioning thyroid tissue </w:t>
      </w:r>
      <w:r w:rsidR="00B43004" w:rsidRPr="002369BD">
        <w:rPr>
          <w:rFonts w:ascii="Arial" w:hAnsi="Arial" w:cs="Arial"/>
          <w:sz w:val="24"/>
          <w:szCs w:val="24"/>
        </w:rPr>
        <w:t>and/</w:t>
      </w:r>
      <w:r w:rsidR="00060C6F" w:rsidRPr="002369BD">
        <w:rPr>
          <w:rFonts w:ascii="Arial" w:hAnsi="Arial" w:cs="Arial"/>
          <w:sz w:val="24"/>
          <w:szCs w:val="24"/>
        </w:rPr>
        <w:t xml:space="preserve">or tumor due to cell death or dysfunction caused by the activity administered for diagnostic imaging) is less likely at the lower </w:t>
      </w:r>
      <w:r w:rsidR="00894489">
        <w:rPr>
          <w:rFonts w:ascii="Arial" w:hAnsi="Arial" w:cs="Arial"/>
          <w:sz w:val="24"/>
          <w:szCs w:val="24"/>
        </w:rPr>
        <w:t xml:space="preserve">administered </w:t>
      </w:r>
      <w:r w:rsidR="00060C6F" w:rsidRPr="002369BD">
        <w:rPr>
          <w:rFonts w:ascii="Arial" w:hAnsi="Arial" w:cs="Arial"/>
          <w:sz w:val="24"/>
          <w:szCs w:val="24"/>
        </w:rPr>
        <w:t xml:space="preserve">activity. </w:t>
      </w:r>
      <w:r w:rsidR="00315373" w:rsidRPr="002369BD">
        <w:rPr>
          <w:rFonts w:ascii="Arial" w:hAnsi="Arial" w:cs="Arial"/>
          <w:sz w:val="24"/>
          <w:szCs w:val="24"/>
        </w:rPr>
        <w:t>However</w:t>
      </w:r>
      <w:r w:rsidR="00060C6F" w:rsidRPr="002369BD">
        <w:rPr>
          <w:rFonts w:ascii="Arial" w:hAnsi="Arial" w:cs="Arial"/>
          <w:sz w:val="24"/>
          <w:szCs w:val="24"/>
        </w:rPr>
        <w:t xml:space="preserve">, stunning may not influence the outcome of treatment. </w:t>
      </w:r>
      <w:r w:rsidR="00B43004" w:rsidRPr="002369BD">
        <w:rPr>
          <w:rFonts w:ascii="Arial" w:hAnsi="Arial" w:cs="Arial"/>
          <w:sz w:val="24"/>
          <w:szCs w:val="24"/>
        </w:rPr>
        <w:t>T</w:t>
      </w:r>
      <w:r w:rsidR="00A633A3" w:rsidRPr="002369BD">
        <w:rPr>
          <w:rFonts w:ascii="Arial" w:hAnsi="Arial" w:cs="Arial"/>
          <w:sz w:val="24"/>
          <w:szCs w:val="24"/>
        </w:rPr>
        <w:t xml:space="preserve">he method of TSH stimulation </w:t>
      </w:r>
      <w:r w:rsidR="00B43004" w:rsidRPr="002369BD">
        <w:rPr>
          <w:rFonts w:ascii="Arial" w:hAnsi="Arial" w:cs="Arial"/>
          <w:sz w:val="24"/>
          <w:szCs w:val="24"/>
        </w:rPr>
        <w:t xml:space="preserve">also </w:t>
      </w:r>
      <w:r w:rsidR="00A633A3" w:rsidRPr="002369BD">
        <w:rPr>
          <w:rFonts w:ascii="Arial" w:hAnsi="Arial" w:cs="Arial"/>
          <w:sz w:val="24"/>
          <w:szCs w:val="24"/>
        </w:rPr>
        <w:t xml:space="preserve">needs to be considered in deciding the activity employed for diagnostic 131I </w:t>
      </w:r>
      <w:r w:rsidR="00F861F0" w:rsidRPr="002369BD">
        <w:rPr>
          <w:rFonts w:ascii="Arial" w:hAnsi="Arial" w:cs="Arial"/>
          <w:sz w:val="24"/>
          <w:szCs w:val="24"/>
        </w:rPr>
        <w:t xml:space="preserve">NaI </w:t>
      </w:r>
      <w:r w:rsidR="00A633A3" w:rsidRPr="002369BD">
        <w:rPr>
          <w:rFonts w:ascii="Arial" w:hAnsi="Arial" w:cs="Arial"/>
          <w:sz w:val="24"/>
          <w:szCs w:val="24"/>
        </w:rPr>
        <w:t xml:space="preserve">scintigraphy, usually as: </w:t>
      </w:r>
      <w:r w:rsidR="000631B4" w:rsidRPr="002369BD">
        <w:rPr>
          <w:rFonts w:ascii="Arial" w:hAnsi="Arial" w:cs="Arial"/>
          <w:sz w:val="24"/>
          <w:szCs w:val="24"/>
        </w:rPr>
        <w:t>37-74 MB1 (</w:t>
      </w:r>
      <w:r w:rsidR="00A633A3" w:rsidRPr="002369BD">
        <w:rPr>
          <w:rFonts w:ascii="Arial" w:hAnsi="Arial" w:cs="Arial"/>
          <w:sz w:val="24"/>
          <w:szCs w:val="24"/>
        </w:rPr>
        <w:t>1-2 mCi</w:t>
      </w:r>
      <w:r w:rsidR="000631B4" w:rsidRPr="002369BD">
        <w:rPr>
          <w:rFonts w:ascii="Arial" w:hAnsi="Arial" w:cs="Arial"/>
          <w:sz w:val="24"/>
          <w:szCs w:val="24"/>
        </w:rPr>
        <w:t>)</w:t>
      </w:r>
      <w:r w:rsidR="00A633A3" w:rsidRPr="002369BD">
        <w:rPr>
          <w:rFonts w:ascii="Arial" w:hAnsi="Arial" w:cs="Arial"/>
          <w:sz w:val="24"/>
          <w:szCs w:val="24"/>
        </w:rPr>
        <w:t xml:space="preserve"> if the patient is hypothyroid and </w:t>
      </w:r>
      <w:r w:rsidR="000631B4" w:rsidRPr="002369BD">
        <w:rPr>
          <w:rFonts w:ascii="Arial" w:hAnsi="Arial" w:cs="Arial"/>
          <w:sz w:val="24"/>
          <w:szCs w:val="24"/>
        </w:rPr>
        <w:t>111-148 MBq (</w:t>
      </w:r>
      <w:r w:rsidR="00C30776" w:rsidRPr="002369BD">
        <w:rPr>
          <w:rFonts w:ascii="Arial" w:hAnsi="Arial" w:cs="Arial"/>
          <w:sz w:val="24"/>
          <w:szCs w:val="24"/>
        </w:rPr>
        <w:t>3-</w:t>
      </w:r>
      <w:r w:rsidR="00A633A3" w:rsidRPr="002369BD">
        <w:rPr>
          <w:rFonts w:ascii="Arial" w:hAnsi="Arial" w:cs="Arial"/>
          <w:sz w:val="24"/>
          <w:szCs w:val="24"/>
        </w:rPr>
        <w:t>4 mCi</w:t>
      </w:r>
      <w:r w:rsidR="000631B4" w:rsidRPr="002369BD">
        <w:rPr>
          <w:rFonts w:ascii="Arial" w:hAnsi="Arial" w:cs="Arial"/>
          <w:sz w:val="24"/>
          <w:szCs w:val="24"/>
        </w:rPr>
        <w:t>)</w:t>
      </w:r>
      <w:r w:rsidR="00A633A3" w:rsidRPr="002369BD">
        <w:rPr>
          <w:rFonts w:ascii="Arial" w:hAnsi="Arial" w:cs="Arial"/>
          <w:sz w:val="24"/>
          <w:szCs w:val="24"/>
        </w:rPr>
        <w:t xml:space="preserve"> if a </w:t>
      </w:r>
      <w:proofErr w:type="spellStart"/>
      <w:r w:rsidR="00A633A3" w:rsidRPr="002369BD">
        <w:rPr>
          <w:rFonts w:ascii="Arial" w:hAnsi="Arial" w:cs="Arial"/>
          <w:sz w:val="24"/>
          <w:szCs w:val="24"/>
        </w:rPr>
        <w:t>rhTSH</w:t>
      </w:r>
      <w:proofErr w:type="spellEnd"/>
      <w:r w:rsidR="00A633A3" w:rsidRPr="002369BD">
        <w:rPr>
          <w:rFonts w:ascii="Arial" w:hAnsi="Arial" w:cs="Arial"/>
          <w:sz w:val="24"/>
          <w:szCs w:val="24"/>
        </w:rPr>
        <w:t xml:space="preserve"> stimulation protocol was followed.</w:t>
      </w:r>
      <w:r w:rsidR="00603B9E">
        <w:rPr>
          <w:rFonts w:ascii="Arial" w:hAnsi="Arial" w:cs="Arial"/>
          <w:sz w:val="24"/>
          <w:szCs w:val="24"/>
        </w:rPr>
        <w:t xml:space="preserve">  </w:t>
      </w:r>
      <w:r w:rsidR="00603B9E" w:rsidRPr="00603B9E">
        <w:rPr>
          <w:rFonts w:ascii="Arial" w:hAnsi="Arial" w:cs="Arial"/>
          <w:sz w:val="24"/>
          <w:szCs w:val="24"/>
        </w:rPr>
        <w:t>There is no consensus practice parameter for weight-based administration for children.</w:t>
      </w:r>
    </w:p>
    <w:p w14:paraId="7B00F446" w14:textId="77777777" w:rsidR="00B01C39" w:rsidRPr="002369BD" w:rsidRDefault="00B01C39" w:rsidP="009028D3">
      <w:pPr>
        <w:tabs>
          <w:tab w:val="left" w:pos="360"/>
          <w:tab w:val="left" w:pos="630"/>
        </w:tabs>
        <w:spacing w:after="0" w:line="360" w:lineRule="auto"/>
        <w:jc w:val="both"/>
        <w:rPr>
          <w:rFonts w:ascii="Arial" w:hAnsi="Arial" w:cs="Arial"/>
          <w:sz w:val="24"/>
          <w:szCs w:val="24"/>
        </w:rPr>
      </w:pPr>
    </w:p>
    <w:p w14:paraId="39387242" w14:textId="7E3FA431" w:rsidR="001741B8" w:rsidRPr="002369BD" w:rsidRDefault="001D05E3"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lastRenderedPageBreak/>
        <w:tab/>
      </w:r>
      <w:r w:rsidR="00897502" w:rsidRPr="002369BD">
        <w:rPr>
          <w:rFonts w:ascii="Arial" w:hAnsi="Arial" w:cs="Arial"/>
          <w:sz w:val="24"/>
          <w:szCs w:val="24"/>
          <w:u w:val="single"/>
        </w:rPr>
        <w:t>Oral 123I</w:t>
      </w:r>
      <w:r w:rsidR="00166EF0" w:rsidRPr="002369BD">
        <w:rPr>
          <w:rFonts w:ascii="Arial" w:hAnsi="Arial" w:cs="Arial"/>
          <w:sz w:val="24"/>
          <w:szCs w:val="24"/>
          <w:u w:val="single"/>
        </w:rPr>
        <w:t xml:space="preserve"> NaI:</w:t>
      </w:r>
      <w:r w:rsidR="00166EF0" w:rsidRPr="002369BD">
        <w:rPr>
          <w:rFonts w:ascii="Arial" w:hAnsi="Arial" w:cs="Arial"/>
          <w:sz w:val="24"/>
          <w:szCs w:val="24"/>
        </w:rPr>
        <w:t xml:space="preserve"> </w:t>
      </w:r>
      <w:r w:rsidR="00C30776" w:rsidRPr="002369BD">
        <w:rPr>
          <w:rFonts w:ascii="Arial" w:hAnsi="Arial" w:cs="Arial"/>
          <w:sz w:val="24"/>
          <w:szCs w:val="24"/>
        </w:rPr>
        <w:t>The typical administered dosage</w:t>
      </w:r>
      <w:r w:rsidR="00FF6F16" w:rsidRPr="002369BD">
        <w:rPr>
          <w:rFonts w:ascii="Arial" w:hAnsi="Arial" w:cs="Arial"/>
          <w:sz w:val="24"/>
          <w:szCs w:val="24"/>
        </w:rPr>
        <w:t xml:space="preserve"> for diagnostic imaging</w:t>
      </w:r>
      <w:r w:rsidR="00C30776" w:rsidRPr="002369BD">
        <w:rPr>
          <w:rFonts w:ascii="Arial" w:hAnsi="Arial" w:cs="Arial"/>
          <w:sz w:val="24"/>
          <w:szCs w:val="24"/>
        </w:rPr>
        <w:t xml:space="preserve"> is </w:t>
      </w:r>
      <w:r w:rsidR="00897502" w:rsidRPr="002369BD">
        <w:rPr>
          <w:rFonts w:ascii="Arial" w:hAnsi="Arial" w:cs="Arial"/>
          <w:sz w:val="24"/>
          <w:szCs w:val="24"/>
        </w:rPr>
        <w:t xml:space="preserve">between </w:t>
      </w:r>
      <w:r w:rsidR="000631B4" w:rsidRPr="002369BD">
        <w:rPr>
          <w:rFonts w:ascii="Arial" w:hAnsi="Arial" w:cs="Arial"/>
          <w:sz w:val="24"/>
          <w:szCs w:val="24"/>
        </w:rPr>
        <w:t>74-148 MBq (</w:t>
      </w:r>
      <w:r w:rsidR="0083208E" w:rsidRPr="002369BD">
        <w:rPr>
          <w:rFonts w:ascii="Arial" w:hAnsi="Arial" w:cs="Arial"/>
          <w:sz w:val="24"/>
          <w:szCs w:val="24"/>
        </w:rPr>
        <w:t>2-4</w:t>
      </w:r>
      <w:r w:rsidR="00897502" w:rsidRPr="002369BD">
        <w:rPr>
          <w:rFonts w:ascii="Arial" w:hAnsi="Arial" w:cs="Arial"/>
          <w:sz w:val="24"/>
          <w:szCs w:val="24"/>
        </w:rPr>
        <w:t xml:space="preserve"> mCi</w:t>
      </w:r>
      <w:r w:rsidR="000631B4" w:rsidRPr="002369BD">
        <w:rPr>
          <w:rFonts w:ascii="Arial" w:hAnsi="Arial" w:cs="Arial"/>
          <w:sz w:val="24"/>
          <w:szCs w:val="24"/>
        </w:rPr>
        <w:t>)</w:t>
      </w:r>
      <w:r w:rsidR="005A66BA">
        <w:rPr>
          <w:rFonts w:ascii="Arial" w:hAnsi="Arial" w:cs="Arial"/>
          <w:sz w:val="24"/>
          <w:szCs w:val="24"/>
        </w:rPr>
        <w:t>.</w:t>
      </w:r>
      <w:r w:rsidR="0073284E">
        <w:rPr>
          <w:rFonts w:ascii="Arial" w:hAnsi="Arial" w:cs="Arial"/>
          <w:sz w:val="24"/>
          <w:szCs w:val="24"/>
        </w:rPr>
        <w:t xml:space="preserve">  </w:t>
      </w:r>
      <w:r w:rsidR="00603B9E" w:rsidRPr="00603B9E">
        <w:rPr>
          <w:rFonts w:ascii="Arial" w:hAnsi="Arial" w:cs="Arial"/>
          <w:sz w:val="24"/>
          <w:szCs w:val="24"/>
        </w:rPr>
        <w:t>There is no consensus practice parameter for weight-based administration for children.</w:t>
      </w:r>
    </w:p>
    <w:p w14:paraId="247F76F2" w14:textId="77777777" w:rsidR="00B01C39" w:rsidRPr="002369BD" w:rsidRDefault="00B01C39" w:rsidP="009028D3">
      <w:pPr>
        <w:tabs>
          <w:tab w:val="left" w:pos="360"/>
          <w:tab w:val="left" w:pos="630"/>
        </w:tabs>
        <w:spacing w:after="0" w:line="360" w:lineRule="auto"/>
        <w:jc w:val="both"/>
        <w:rPr>
          <w:rFonts w:ascii="Arial" w:hAnsi="Arial" w:cs="Arial"/>
          <w:sz w:val="24"/>
          <w:szCs w:val="24"/>
        </w:rPr>
      </w:pPr>
    </w:p>
    <w:p w14:paraId="622D0978" w14:textId="524AA879" w:rsidR="0009181F" w:rsidRPr="002369BD" w:rsidRDefault="001D05E3"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09181F" w:rsidRPr="002369BD">
        <w:rPr>
          <w:rFonts w:ascii="Arial" w:hAnsi="Arial" w:cs="Arial"/>
          <w:sz w:val="24"/>
          <w:szCs w:val="24"/>
          <w:u w:val="single"/>
        </w:rPr>
        <w:t>18F-FDG:</w:t>
      </w:r>
      <w:r w:rsidR="0009181F" w:rsidRPr="002369BD">
        <w:rPr>
          <w:rFonts w:ascii="Arial" w:hAnsi="Arial" w:cs="Arial"/>
          <w:sz w:val="24"/>
          <w:szCs w:val="24"/>
        </w:rPr>
        <w:t xml:space="preserve"> </w:t>
      </w:r>
      <w:r w:rsidR="00EE799C" w:rsidRPr="002369BD">
        <w:rPr>
          <w:rFonts w:ascii="Arial" w:hAnsi="Arial" w:cs="Arial"/>
          <w:sz w:val="24"/>
          <w:szCs w:val="24"/>
        </w:rPr>
        <w:t>The typical administered dosage</w:t>
      </w:r>
      <w:r w:rsidR="00B43004" w:rsidRPr="002369BD">
        <w:rPr>
          <w:rFonts w:ascii="Arial" w:hAnsi="Arial" w:cs="Arial"/>
          <w:sz w:val="24"/>
          <w:szCs w:val="24"/>
        </w:rPr>
        <w:t xml:space="preserve"> for oncology</w:t>
      </w:r>
      <w:r w:rsidR="00EE799C" w:rsidRPr="002369BD">
        <w:rPr>
          <w:rFonts w:ascii="Arial" w:hAnsi="Arial" w:cs="Arial"/>
          <w:sz w:val="24"/>
          <w:szCs w:val="24"/>
        </w:rPr>
        <w:t xml:space="preserve"> is </w:t>
      </w:r>
      <w:r w:rsidR="00A949A4" w:rsidRPr="002369BD">
        <w:rPr>
          <w:rFonts w:ascii="Arial" w:hAnsi="Arial" w:cs="Arial"/>
          <w:sz w:val="24"/>
          <w:szCs w:val="24"/>
        </w:rPr>
        <w:t>370</w:t>
      </w:r>
      <w:r w:rsidR="000631B4" w:rsidRPr="002369BD">
        <w:rPr>
          <w:rFonts w:ascii="Arial" w:hAnsi="Arial" w:cs="Arial"/>
          <w:sz w:val="24"/>
          <w:szCs w:val="24"/>
        </w:rPr>
        <w:t>-740 MBq (</w:t>
      </w:r>
      <w:r w:rsidR="00A949A4" w:rsidRPr="002369BD">
        <w:rPr>
          <w:rFonts w:ascii="Arial" w:hAnsi="Arial" w:cs="Arial"/>
          <w:sz w:val="24"/>
          <w:szCs w:val="24"/>
        </w:rPr>
        <w:t>10</w:t>
      </w:r>
      <w:r w:rsidR="00EE799C" w:rsidRPr="002369BD">
        <w:rPr>
          <w:rFonts w:ascii="Arial" w:hAnsi="Arial" w:cs="Arial"/>
          <w:sz w:val="24"/>
          <w:szCs w:val="24"/>
        </w:rPr>
        <w:t>-20 mCi</w:t>
      </w:r>
      <w:r w:rsidR="000631B4" w:rsidRPr="002369BD">
        <w:rPr>
          <w:rFonts w:ascii="Arial" w:hAnsi="Arial" w:cs="Arial"/>
          <w:sz w:val="24"/>
          <w:szCs w:val="24"/>
        </w:rPr>
        <w:t>)</w:t>
      </w:r>
      <w:r w:rsidR="00EE799C" w:rsidRPr="002369BD">
        <w:rPr>
          <w:rFonts w:ascii="Arial" w:hAnsi="Arial" w:cs="Arial"/>
          <w:sz w:val="24"/>
          <w:szCs w:val="24"/>
        </w:rPr>
        <w:t xml:space="preserve">.  </w:t>
      </w:r>
      <w:r w:rsidR="0009181F" w:rsidRPr="002369BD">
        <w:rPr>
          <w:rFonts w:ascii="Arial" w:hAnsi="Arial" w:cs="Arial"/>
          <w:sz w:val="24"/>
          <w:szCs w:val="24"/>
        </w:rPr>
        <w:t xml:space="preserve">FDG may be used to identify tumors that are not </w:t>
      </w:r>
      <w:r w:rsidR="00C2209F" w:rsidRPr="002369BD">
        <w:rPr>
          <w:rFonts w:ascii="Arial" w:hAnsi="Arial" w:cs="Arial"/>
          <w:sz w:val="24"/>
          <w:szCs w:val="24"/>
        </w:rPr>
        <w:t>detected</w:t>
      </w:r>
      <w:r w:rsidR="0009181F" w:rsidRPr="002369BD">
        <w:rPr>
          <w:rFonts w:ascii="Arial" w:hAnsi="Arial" w:cs="Arial"/>
          <w:sz w:val="24"/>
          <w:szCs w:val="24"/>
        </w:rPr>
        <w:t xml:space="preserve"> with </w:t>
      </w:r>
      <w:r w:rsidR="00731885" w:rsidRPr="002369BD">
        <w:rPr>
          <w:rFonts w:ascii="Arial" w:hAnsi="Arial" w:cs="Arial"/>
          <w:sz w:val="24"/>
          <w:szCs w:val="24"/>
        </w:rPr>
        <w:t>RAI</w:t>
      </w:r>
      <w:r w:rsidR="005A7E73" w:rsidRPr="002369BD">
        <w:rPr>
          <w:rFonts w:ascii="Arial" w:hAnsi="Arial" w:cs="Arial"/>
          <w:sz w:val="24"/>
          <w:szCs w:val="24"/>
        </w:rPr>
        <w:t>.  These are usually less well-</w:t>
      </w:r>
      <w:r w:rsidR="00F74316" w:rsidRPr="002369BD">
        <w:rPr>
          <w:rFonts w:ascii="Arial" w:hAnsi="Arial" w:cs="Arial"/>
          <w:sz w:val="24"/>
          <w:szCs w:val="24"/>
        </w:rPr>
        <w:t>differentiated tumor</w:t>
      </w:r>
      <w:r w:rsidR="005A7E73" w:rsidRPr="002369BD">
        <w:rPr>
          <w:rFonts w:ascii="Arial" w:hAnsi="Arial" w:cs="Arial"/>
          <w:sz w:val="24"/>
          <w:szCs w:val="24"/>
        </w:rPr>
        <w:t>s</w:t>
      </w:r>
      <w:r w:rsidR="0009181F" w:rsidRPr="002369BD">
        <w:rPr>
          <w:rFonts w:ascii="Arial" w:hAnsi="Arial" w:cs="Arial"/>
          <w:sz w:val="24"/>
          <w:szCs w:val="24"/>
        </w:rPr>
        <w:t xml:space="preserve"> (FDG-positive</w:t>
      </w:r>
      <w:r w:rsidR="005A7E73" w:rsidRPr="002369BD">
        <w:rPr>
          <w:rFonts w:ascii="Arial" w:hAnsi="Arial" w:cs="Arial"/>
          <w:sz w:val="24"/>
          <w:szCs w:val="24"/>
        </w:rPr>
        <w:t xml:space="preserve">, </w:t>
      </w:r>
      <w:r w:rsidR="0009181F" w:rsidRPr="002369BD">
        <w:rPr>
          <w:rFonts w:ascii="Arial" w:hAnsi="Arial" w:cs="Arial"/>
          <w:sz w:val="24"/>
          <w:szCs w:val="24"/>
        </w:rPr>
        <w:t>radioiodine-negative)</w:t>
      </w:r>
      <w:r w:rsidR="008052B3" w:rsidRPr="002369BD">
        <w:rPr>
          <w:rFonts w:ascii="Arial" w:hAnsi="Arial" w:cs="Arial"/>
          <w:sz w:val="24"/>
          <w:szCs w:val="24"/>
        </w:rPr>
        <w:t xml:space="preserve"> and </w:t>
      </w:r>
      <w:r w:rsidR="0009181F" w:rsidRPr="002369BD">
        <w:rPr>
          <w:rFonts w:ascii="Arial" w:hAnsi="Arial" w:cs="Arial"/>
          <w:sz w:val="24"/>
          <w:szCs w:val="24"/>
        </w:rPr>
        <w:t>are less likely to respond to 131I NaI treatment</w:t>
      </w:r>
      <w:r w:rsidR="008052B3" w:rsidRPr="002369BD">
        <w:rPr>
          <w:rFonts w:ascii="Arial" w:hAnsi="Arial" w:cs="Arial"/>
          <w:sz w:val="24"/>
          <w:szCs w:val="24"/>
        </w:rPr>
        <w:t>.  These tumors</w:t>
      </w:r>
      <w:r w:rsidR="0009181F" w:rsidRPr="002369BD">
        <w:rPr>
          <w:rFonts w:ascii="Arial" w:hAnsi="Arial" w:cs="Arial"/>
          <w:sz w:val="24"/>
          <w:szCs w:val="24"/>
        </w:rPr>
        <w:t xml:space="preserve"> may be more</w:t>
      </w:r>
      <w:r w:rsidR="003B2B53" w:rsidRPr="002369BD">
        <w:rPr>
          <w:rFonts w:ascii="Arial" w:hAnsi="Arial" w:cs="Arial"/>
          <w:sz w:val="24"/>
          <w:szCs w:val="24"/>
        </w:rPr>
        <w:t xml:space="preserve"> </w:t>
      </w:r>
      <w:r w:rsidR="0009181F" w:rsidRPr="002369BD">
        <w:rPr>
          <w:rFonts w:ascii="Arial" w:hAnsi="Arial" w:cs="Arial"/>
          <w:sz w:val="24"/>
          <w:szCs w:val="24"/>
        </w:rPr>
        <w:t xml:space="preserve">aggressive, have a less favorable prognosis, </w:t>
      </w:r>
      <w:r w:rsidR="00B41531" w:rsidRPr="002369BD">
        <w:rPr>
          <w:rFonts w:ascii="Arial" w:hAnsi="Arial" w:cs="Arial"/>
          <w:sz w:val="24"/>
          <w:szCs w:val="24"/>
        </w:rPr>
        <w:t>and</w:t>
      </w:r>
      <w:r w:rsidR="0009181F" w:rsidRPr="002369BD">
        <w:rPr>
          <w:rFonts w:ascii="Arial" w:hAnsi="Arial" w:cs="Arial"/>
          <w:sz w:val="24"/>
          <w:szCs w:val="24"/>
        </w:rPr>
        <w:t xml:space="preserve"> may be amenable to surgical resection, external radiation, or embolization. </w:t>
      </w:r>
      <w:r w:rsidR="00905706" w:rsidRPr="002369BD">
        <w:rPr>
          <w:rFonts w:ascii="Arial" w:hAnsi="Arial" w:cs="Arial"/>
          <w:sz w:val="24"/>
          <w:szCs w:val="24"/>
        </w:rPr>
        <w:t xml:space="preserve"> </w:t>
      </w:r>
      <w:r w:rsidR="0009181F" w:rsidRPr="002369BD">
        <w:rPr>
          <w:rFonts w:ascii="Arial" w:hAnsi="Arial" w:cs="Arial"/>
          <w:sz w:val="24"/>
          <w:szCs w:val="24"/>
        </w:rPr>
        <w:t>Imaging with FDG is more</w:t>
      </w:r>
      <w:r w:rsidR="0046153D" w:rsidRPr="002369BD">
        <w:rPr>
          <w:rFonts w:ascii="Arial" w:hAnsi="Arial" w:cs="Arial"/>
          <w:sz w:val="24"/>
          <w:szCs w:val="24"/>
        </w:rPr>
        <w:t xml:space="preserve"> </w:t>
      </w:r>
      <w:r w:rsidR="003B2B53" w:rsidRPr="002369BD">
        <w:rPr>
          <w:rFonts w:ascii="Arial" w:hAnsi="Arial" w:cs="Arial"/>
          <w:sz w:val="24"/>
          <w:szCs w:val="24"/>
        </w:rPr>
        <w:t>s</w:t>
      </w:r>
      <w:r w:rsidR="0009181F" w:rsidRPr="002369BD">
        <w:rPr>
          <w:rFonts w:ascii="Arial" w:hAnsi="Arial" w:cs="Arial"/>
          <w:sz w:val="24"/>
          <w:szCs w:val="24"/>
        </w:rPr>
        <w:t>ensitive when the serum TSH is elevated</w:t>
      </w:r>
      <w:r w:rsidR="00F43B22" w:rsidRPr="002369BD">
        <w:rPr>
          <w:rFonts w:ascii="Arial" w:hAnsi="Arial" w:cs="Arial"/>
          <w:sz w:val="24"/>
          <w:szCs w:val="24"/>
        </w:rPr>
        <w:t xml:space="preserve"> (</w:t>
      </w:r>
      <w:r w:rsidR="00E77E79">
        <w:rPr>
          <w:rFonts w:ascii="Arial" w:hAnsi="Arial" w:cs="Arial"/>
          <w:sz w:val="24"/>
          <w:szCs w:val="24"/>
        </w:rPr>
        <w:t xml:space="preserve">THW </w:t>
      </w:r>
      <w:r w:rsidR="00F43B22" w:rsidRPr="002369BD">
        <w:rPr>
          <w:rFonts w:ascii="Arial" w:hAnsi="Arial" w:cs="Arial"/>
          <w:sz w:val="24"/>
          <w:szCs w:val="24"/>
        </w:rPr>
        <w:t xml:space="preserve">or </w:t>
      </w:r>
      <w:proofErr w:type="spellStart"/>
      <w:r w:rsidR="00F43B22" w:rsidRPr="002369BD">
        <w:rPr>
          <w:rFonts w:ascii="Arial" w:hAnsi="Arial" w:cs="Arial"/>
          <w:sz w:val="24"/>
          <w:szCs w:val="24"/>
        </w:rPr>
        <w:t>rhTSH</w:t>
      </w:r>
      <w:proofErr w:type="spellEnd"/>
      <w:r w:rsidR="00F43B22" w:rsidRPr="002369BD">
        <w:rPr>
          <w:rFonts w:ascii="Arial" w:hAnsi="Arial" w:cs="Arial"/>
          <w:sz w:val="24"/>
          <w:szCs w:val="24"/>
        </w:rPr>
        <w:t xml:space="preserve"> stimulation)</w:t>
      </w:r>
      <w:r w:rsidR="00C01E58">
        <w:rPr>
          <w:rFonts w:ascii="Arial" w:hAnsi="Arial" w:cs="Arial"/>
          <w:sz w:val="24"/>
          <w:szCs w:val="24"/>
        </w:rPr>
        <w:t>.</w:t>
      </w:r>
    </w:p>
    <w:p w14:paraId="332073B0" w14:textId="77777777" w:rsidR="00D1619B" w:rsidRPr="002369BD" w:rsidRDefault="00D1619B" w:rsidP="009028D3">
      <w:pPr>
        <w:tabs>
          <w:tab w:val="left" w:pos="360"/>
          <w:tab w:val="left" w:pos="630"/>
        </w:tabs>
        <w:spacing w:after="0" w:line="360" w:lineRule="auto"/>
        <w:jc w:val="both"/>
        <w:rPr>
          <w:rFonts w:ascii="Arial" w:hAnsi="Arial" w:cs="Arial"/>
          <w:sz w:val="24"/>
          <w:szCs w:val="24"/>
        </w:rPr>
      </w:pPr>
    </w:p>
    <w:p w14:paraId="7FDA275F" w14:textId="708FB77F" w:rsidR="003D26C2" w:rsidRPr="002369BD" w:rsidRDefault="003D26C2"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 xml:space="preserve">E.  </w:t>
      </w:r>
      <w:r w:rsidR="00032F40" w:rsidRPr="002369BD">
        <w:rPr>
          <w:rFonts w:ascii="Arial" w:hAnsi="Arial" w:cs="Arial"/>
          <w:b/>
          <w:sz w:val="24"/>
          <w:szCs w:val="24"/>
        </w:rPr>
        <w:t>Imaging</w:t>
      </w:r>
    </w:p>
    <w:p w14:paraId="08729532" w14:textId="7DF99FC8" w:rsidR="00622D28" w:rsidRPr="002369BD" w:rsidRDefault="001B4B74" w:rsidP="009028D3">
      <w:pPr>
        <w:tabs>
          <w:tab w:val="left" w:pos="360"/>
          <w:tab w:val="left" w:pos="630"/>
        </w:tabs>
        <w:spacing w:after="0" w:line="360" w:lineRule="auto"/>
        <w:jc w:val="both"/>
        <w:rPr>
          <w:rFonts w:ascii="Arial" w:hAnsi="Arial" w:cs="Arial"/>
          <w:sz w:val="24"/>
          <w:szCs w:val="24"/>
          <w:u w:val="single"/>
        </w:rPr>
      </w:pPr>
      <w:r w:rsidRPr="002369BD">
        <w:rPr>
          <w:rFonts w:ascii="Arial" w:hAnsi="Arial" w:cs="Arial"/>
          <w:sz w:val="24"/>
          <w:szCs w:val="24"/>
        </w:rPr>
        <w:tab/>
      </w:r>
      <w:r w:rsidR="00BC55FB" w:rsidRPr="002369BD">
        <w:rPr>
          <w:rFonts w:ascii="Arial" w:hAnsi="Arial" w:cs="Arial"/>
          <w:sz w:val="24"/>
          <w:szCs w:val="24"/>
          <w:u w:val="single"/>
        </w:rPr>
        <w:t>Clinical Settings</w:t>
      </w:r>
      <w:r w:rsidR="00AA543E">
        <w:rPr>
          <w:rFonts w:ascii="Arial" w:hAnsi="Arial" w:cs="Arial"/>
          <w:sz w:val="24"/>
          <w:szCs w:val="24"/>
          <w:u w:val="single"/>
        </w:rPr>
        <w:t xml:space="preserve"> for Imaging</w:t>
      </w:r>
      <w:r w:rsidR="00BC55FB" w:rsidRPr="002369BD">
        <w:rPr>
          <w:rFonts w:ascii="Arial" w:hAnsi="Arial" w:cs="Arial"/>
          <w:sz w:val="24"/>
          <w:szCs w:val="24"/>
          <w:u w:val="single"/>
        </w:rPr>
        <w:t>:</w:t>
      </w:r>
    </w:p>
    <w:p w14:paraId="4323CE30" w14:textId="179E6E25" w:rsidR="00AA543E" w:rsidRPr="00AA543E" w:rsidRDefault="00D04915" w:rsidP="00AA543E">
      <w:pPr>
        <w:pStyle w:val="ListParagraph"/>
        <w:numPr>
          <w:ilvl w:val="0"/>
          <w:numId w:val="12"/>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Post-</w:t>
      </w:r>
      <w:r w:rsidR="00A223BD" w:rsidRPr="002369BD">
        <w:rPr>
          <w:rFonts w:ascii="Arial" w:hAnsi="Arial" w:cs="Arial"/>
          <w:i/>
          <w:iCs/>
          <w:sz w:val="24"/>
          <w:szCs w:val="24"/>
        </w:rPr>
        <w:t>T</w:t>
      </w:r>
      <w:r w:rsidRPr="002369BD">
        <w:rPr>
          <w:rFonts w:ascii="Arial" w:hAnsi="Arial" w:cs="Arial"/>
          <w:i/>
          <w:iCs/>
          <w:sz w:val="24"/>
          <w:szCs w:val="24"/>
        </w:rPr>
        <w:t>hyroidectomy, Pre-</w:t>
      </w:r>
      <w:r w:rsidR="00A223BD" w:rsidRPr="002369BD">
        <w:rPr>
          <w:rFonts w:ascii="Arial" w:hAnsi="Arial" w:cs="Arial"/>
          <w:i/>
          <w:iCs/>
          <w:sz w:val="24"/>
          <w:szCs w:val="24"/>
        </w:rPr>
        <w:t>RAI A</w:t>
      </w:r>
      <w:r w:rsidR="0068073D" w:rsidRPr="002369BD">
        <w:rPr>
          <w:rFonts w:ascii="Arial" w:hAnsi="Arial" w:cs="Arial"/>
          <w:i/>
          <w:iCs/>
          <w:sz w:val="24"/>
          <w:szCs w:val="24"/>
        </w:rPr>
        <w:t>blation Imaging</w:t>
      </w:r>
      <w:r w:rsidR="00480621" w:rsidRPr="002369BD">
        <w:rPr>
          <w:rFonts w:ascii="Arial" w:hAnsi="Arial" w:cs="Arial"/>
          <w:sz w:val="24"/>
          <w:szCs w:val="24"/>
        </w:rPr>
        <w:t>:</w:t>
      </w:r>
      <w:r w:rsidR="0068073D" w:rsidRPr="002369BD">
        <w:rPr>
          <w:rFonts w:ascii="Arial" w:hAnsi="Arial" w:cs="Arial"/>
          <w:sz w:val="24"/>
          <w:szCs w:val="24"/>
        </w:rPr>
        <w:t xml:space="preserve"> </w:t>
      </w:r>
      <w:r w:rsidR="00C06C58">
        <w:rPr>
          <w:rFonts w:ascii="Arial" w:hAnsi="Arial" w:cs="Arial"/>
          <w:sz w:val="24"/>
          <w:szCs w:val="24"/>
        </w:rPr>
        <w:t xml:space="preserve"> </w:t>
      </w:r>
      <w:r w:rsidR="00C06C58" w:rsidRPr="00C06C58">
        <w:rPr>
          <w:rFonts w:ascii="Arial" w:hAnsi="Arial" w:cs="Arial"/>
          <w:sz w:val="24"/>
          <w:szCs w:val="24"/>
        </w:rPr>
        <w:t>Nuclear medicine physicians are divided as to the need for pre-ablation imaging</w:t>
      </w:r>
      <w:r w:rsidR="00C06C58">
        <w:rPr>
          <w:rFonts w:ascii="Arial" w:hAnsi="Arial" w:cs="Arial"/>
          <w:sz w:val="24"/>
          <w:szCs w:val="24"/>
        </w:rPr>
        <w:t xml:space="preserve">. </w:t>
      </w:r>
      <w:r w:rsidR="00C06C58" w:rsidRPr="00C06C58">
        <w:rPr>
          <w:rFonts w:ascii="Arial" w:hAnsi="Arial" w:cs="Arial"/>
          <w:sz w:val="24"/>
          <w:szCs w:val="24"/>
        </w:rPr>
        <w:t xml:space="preserve"> </w:t>
      </w:r>
      <w:r w:rsidRPr="002369BD">
        <w:rPr>
          <w:rFonts w:ascii="Arial" w:hAnsi="Arial" w:cs="Arial"/>
          <w:sz w:val="24"/>
          <w:szCs w:val="24"/>
        </w:rPr>
        <w:t xml:space="preserve">The American Thyroid Association (ATA) guidelines </w:t>
      </w:r>
      <w:r w:rsidR="00070268" w:rsidRPr="002369BD">
        <w:rPr>
          <w:rFonts w:ascii="Arial" w:hAnsi="Arial" w:cs="Arial"/>
          <w:sz w:val="24"/>
          <w:szCs w:val="24"/>
        </w:rPr>
        <w:t xml:space="preserve">recommend </w:t>
      </w:r>
      <w:r w:rsidR="00304CA5" w:rsidRPr="002369BD">
        <w:rPr>
          <w:rFonts w:ascii="Arial" w:hAnsi="Arial" w:cs="Arial"/>
          <w:sz w:val="24"/>
          <w:szCs w:val="24"/>
        </w:rPr>
        <w:t>that</w:t>
      </w:r>
      <w:r w:rsidR="002B1820" w:rsidRPr="002369BD">
        <w:rPr>
          <w:rFonts w:ascii="Arial" w:hAnsi="Arial" w:cs="Arial"/>
          <w:sz w:val="24"/>
          <w:szCs w:val="24"/>
        </w:rPr>
        <w:t xml:space="preserve"> a</w:t>
      </w:r>
      <w:r w:rsidR="00304CA5" w:rsidRPr="002369BD">
        <w:rPr>
          <w:rFonts w:ascii="Arial" w:hAnsi="Arial" w:cs="Arial"/>
          <w:sz w:val="24"/>
          <w:szCs w:val="24"/>
        </w:rPr>
        <w:t xml:space="preserve"> </w:t>
      </w:r>
      <w:r w:rsidR="002B1820" w:rsidRPr="002369BD">
        <w:rPr>
          <w:rFonts w:ascii="Arial" w:hAnsi="Arial" w:cs="Arial"/>
          <w:sz w:val="24"/>
          <w:szCs w:val="24"/>
        </w:rPr>
        <w:t>p</w:t>
      </w:r>
      <w:r w:rsidR="00304CA5" w:rsidRPr="002369BD">
        <w:rPr>
          <w:rFonts w:ascii="Arial" w:hAnsi="Arial" w:cs="Arial"/>
          <w:sz w:val="24"/>
          <w:szCs w:val="24"/>
        </w:rPr>
        <w:t xml:space="preserve">ostoperative diagnostic RAI scan may be useful when the extent of the thyroid remnant or residual disease cannot be accurately ascertained from the surgical report or neck ultrasonography and when the results may alter the decision to treat or the activity of RAI that is to be administered. </w:t>
      </w:r>
      <w:r w:rsidR="00C06C58">
        <w:rPr>
          <w:rFonts w:ascii="Arial" w:hAnsi="Arial" w:cs="Arial"/>
          <w:sz w:val="24"/>
          <w:szCs w:val="24"/>
        </w:rPr>
        <w:t>Despite differing practices regarding pre-ablation diagnostic RAI i</w:t>
      </w:r>
      <w:r w:rsidR="00C248F3">
        <w:rPr>
          <w:rFonts w:ascii="Arial" w:hAnsi="Arial" w:cs="Arial"/>
          <w:sz w:val="24"/>
          <w:szCs w:val="24"/>
        </w:rPr>
        <w:t>ma</w:t>
      </w:r>
      <w:r w:rsidR="00C06C58">
        <w:rPr>
          <w:rFonts w:ascii="Arial" w:hAnsi="Arial" w:cs="Arial"/>
          <w:sz w:val="24"/>
          <w:szCs w:val="24"/>
        </w:rPr>
        <w:t>ging</w:t>
      </w:r>
      <w:r w:rsidRPr="002369BD">
        <w:rPr>
          <w:rFonts w:ascii="Arial" w:hAnsi="Arial" w:cs="Arial"/>
          <w:sz w:val="24"/>
          <w:szCs w:val="24"/>
        </w:rPr>
        <w:t xml:space="preserve">, one must recognize </w:t>
      </w:r>
      <w:r w:rsidR="002A5DA4" w:rsidRPr="002369BD">
        <w:rPr>
          <w:rFonts w:ascii="Arial" w:hAnsi="Arial" w:cs="Arial"/>
          <w:sz w:val="24"/>
          <w:szCs w:val="24"/>
        </w:rPr>
        <w:t>that the following may be uncovered</w:t>
      </w:r>
      <w:r w:rsidR="00C06C58">
        <w:rPr>
          <w:rFonts w:ascii="Arial" w:hAnsi="Arial" w:cs="Arial"/>
          <w:sz w:val="24"/>
          <w:szCs w:val="24"/>
        </w:rPr>
        <w:t xml:space="preserve"> and/or useful</w:t>
      </w:r>
      <w:r w:rsidRPr="002369BD">
        <w:rPr>
          <w:rFonts w:ascii="Arial" w:hAnsi="Arial" w:cs="Arial"/>
          <w:sz w:val="24"/>
          <w:szCs w:val="24"/>
        </w:rPr>
        <w:t xml:space="preserve">: </w:t>
      </w:r>
    </w:p>
    <w:p w14:paraId="22C4FB86" w14:textId="1E358A55" w:rsidR="00AA543E" w:rsidRPr="00AA543E" w:rsidRDefault="00AA543E" w:rsidP="002369BD">
      <w:pPr>
        <w:pStyle w:val="ListParagraph"/>
        <w:numPr>
          <w:ilvl w:val="0"/>
          <w:numId w:val="19"/>
        </w:numPr>
        <w:tabs>
          <w:tab w:val="left" w:pos="360"/>
          <w:tab w:val="left" w:pos="630"/>
        </w:tabs>
        <w:spacing w:after="0" w:line="360" w:lineRule="auto"/>
        <w:jc w:val="both"/>
        <w:rPr>
          <w:rFonts w:ascii="Arial" w:hAnsi="Arial" w:cs="Arial"/>
          <w:sz w:val="24"/>
          <w:szCs w:val="24"/>
        </w:rPr>
      </w:pPr>
      <w:r>
        <w:rPr>
          <w:rFonts w:ascii="Arial" w:hAnsi="Arial" w:cs="Arial"/>
          <w:sz w:val="24"/>
          <w:szCs w:val="24"/>
        </w:rPr>
        <w:t>D</w:t>
      </w:r>
      <w:r w:rsidRPr="00AA496C">
        <w:rPr>
          <w:rFonts w:ascii="Arial" w:hAnsi="Arial" w:cs="Arial"/>
          <w:sz w:val="24"/>
          <w:szCs w:val="24"/>
        </w:rPr>
        <w:t xml:space="preserve">iagnostic RAI scintigraphy may reveal unexpected iodine-avid metastatic disease in 22% - 35% cases and change management in approximately 30% - 50% cases as compared to </w:t>
      </w:r>
      <w:r>
        <w:rPr>
          <w:rFonts w:ascii="Arial" w:hAnsi="Arial" w:cs="Arial"/>
          <w:sz w:val="24"/>
          <w:szCs w:val="24"/>
        </w:rPr>
        <w:t>an imaging</w:t>
      </w:r>
      <w:r w:rsidRPr="00AA496C">
        <w:rPr>
          <w:rFonts w:ascii="Arial" w:hAnsi="Arial" w:cs="Arial"/>
          <w:sz w:val="24"/>
          <w:szCs w:val="24"/>
        </w:rPr>
        <w:t xml:space="preserve"> strategy which does not include diagnostic scintigraphy</w:t>
      </w:r>
      <w:r w:rsidR="00C248F3">
        <w:rPr>
          <w:rFonts w:ascii="Arial" w:hAnsi="Arial" w:cs="Arial"/>
          <w:sz w:val="24"/>
          <w:szCs w:val="24"/>
        </w:rPr>
        <w:t>.</w:t>
      </w:r>
    </w:p>
    <w:p w14:paraId="10383463" w14:textId="6E4D33B1" w:rsidR="00D04915" w:rsidRPr="002369BD" w:rsidRDefault="00CF38F9" w:rsidP="002369BD">
      <w:pPr>
        <w:pStyle w:val="ListParagraph"/>
        <w:numPr>
          <w:ilvl w:val="0"/>
          <w:numId w:val="19"/>
        </w:numPr>
        <w:tabs>
          <w:tab w:val="left" w:pos="360"/>
          <w:tab w:val="left" w:pos="630"/>
        </w:tabs>
        <w:spacing w:after="0" w:line="360" w:lineRule="auto"/>
        <w:jc w:val="both"/>
        <w:rPr>
          <w:rFonts w:ascii="Arial" w:hAnsi="Arial" w:cs="Arial"/>
          <w:i/>
          <w:iCs/>
          <w:sz w:val="24"/>
          <w:szCs w:val="24"/>
        </w:rPr>
      </w:pPr>
      <w:r w:rsidRPr="002369BD">
        <w:rPr>
          <w:rFonts w:ascii="Arial" w:hAnsi="Arial" w:cs="Arial"/>
          <w:sz w:val="24"/>
          <w:szCs w:val="24"/>
        </w:rPr>
        <w:t xml:space="preserve">Approximately </w:t>
      </w:r>
      <w:r w:rsidR="00D04915" w:rsidRPr="002369BD">
        <w:rPr>
          <w:rFonts w:ascii="Arial" w:hAnsi="Arial" w:cs="Arial"/>
          <w:sz w:val="24"/>
          <w:szCs w:val="24"/>
        </w:rPr>
        <w:t xml:space="preserve">1% of the time, the thyroidectomy is truly total, and if there are no remnants or other foci of iodine-avid tissue on the scan, then giving radioiodine would not be indicated.  However, in high-risk patients, treatment of occult metastases may be warranted.  </w:t>
      </w:r>
    </w:p>
    <w:p w14:paraId="7A92A308" w14:textId="33F43B23" w:rsidR="00D04915" w:rsidRPr="002369BD" w:rsidRDefault="00D04915" w:rsidP="002369BD">
      <w:pPr>
        <w:pStyle w:val="ListParagraph"/>
        <w:numPr>
          <w:ilvl w:val="0"/>
          <w:numId w:val="19"/>
        </w:num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lastRenderedPageBreak/>
        <w:t xml:space="preserve">The scan is useful in helping to determine the 131I NaI dosage for ablation or therapy.  Larger </w:t>
      </w:r>
      <w:r w:rsidR="009536B1">
        <w:rPr>
          <w:rFonts w:ascii="Arial" w:hAnsi="Arial" w:cs="Arial"/>
          <w:sz w:val="24"/>
          <w:szCs w:val="24"/>
        </w:rPr>
        <w:t>therapeutic</w:t>
      </w:r>
      <w:r w:rsidRPr="002369BD">
        <w:rPr>
          <w:rFonts w:ascii="Arial" w:hAnsi="Arial" w:cs="Arial"/>
          <w:sz w:val="24"/>
          <w:szCs w:val="24"/>
        </w:rPr>
        <w:t xml:space="preserve"> RAI </w:t>
      </w:r>
      <w:r w:rsidR="009536B1">
        <w:rPr>
          <w:rFonts w:ascii="Arial" w:hAnsi="Arial" w:cs="Arial"/>
          <w:sz w:val="24"/>
          <w:szCs w:val="24"/>
        </w:rPr>
        <w:t xml:space="preserve">activities </w:t>
      </w:r>
      <w:r w:rsidRPr="002369BD">
        <w:rPr>
          <w:rFonts w:ascii="Arial" w:hAnsi="Arial" w:cs="Arial"/>
          <w:sz w:val="24"/>
          <w:szCs w:val="24"/>
        </w:rPr>
        <w:t>are usually given for ablation if regional or distant metastases are detected on the pre-ablation scan.</w:t>
      </w:r>
    </w:p>
    <w:p w14:paraId="0C22C052" w14:textId="73FF400C" w:rsidR="001848B9" w:rsidRDefault="001848B9" w:rsidP="002369BD">
      <w:pPr>
        <w:pStyle w:val="ListParagraph"/>
        <w:numPr>
          <w:ilvl w:val="0"/>
          <w:numId w:val="19"/>
        </w:numPr>
        <w:tabs>
          <w:tab w:val="left" w:pos="630"/>
        </w:tabs>
        <w:spacing w:line="360" w:lineRule="auto"/>
        <w:jc w:val="both"/>
        <w:rPr>
          <w:rFonts w:ascii="Arial" w:hAnsi="Arial" w:cs="Arial"/>
          <w:sz w:val="24"/>
          <w:szCs w:val="24"/>
        </w:rPr>
      </w:pPr>
      <w:r w:rsidRPr="002369BD">
        <w:rPr>
          <w:rFonts w:ascii="Arial" w:hAnsi="Arial" w:cs="Arial"/>
          <w:sz w:val="24"/>
          <w:szCs w:val="24"/>
        </w:rPr>
        <w:t>Distant metastases in the brain or spinal cord may require pre-radiation</w:t>
      </w:r>
      <w:r w:rsidR="001526C9" w:rsidRPr="002369BD">
        <w:rPr>
          <w:rFonts w:ascii="Arial" w:hAnsi="Arial" w:cs="Arial"/>
          <w:sz w:val="24"/>
          <w:szCs w:val="24"/>
        </w:rPr>
        <w:t xml:space="preserve"> </w:t>
      </w:r>
      <w:r w:rsidRPr="002369BD">
        <w:rPr>
          <w:rFonts w:ascii="Arial" w:hAnsi="Arial" w:cs="Arial"/>
          <w:sz w:val="24"/>
          <w:szCs w:val="24"/>
        </w:rPr>
        <w:t xml:space="preserve">corticosteroids to avoid complications caused by radiation-induced swelling. </w:t>
      </w:r>
    </w:p>
    <w:p w14:paraId="22491182" w14:textId="3B8D824F" w:rsidR="00C06C58" w:rsidRPr="002369BD" w:rsidRDefault="00C06C58" w:rsidP="002369BD">
      <w:pPr>
        <w:pStyle w:val="ListParagraph"/>
        <w:numPr>
          <w:ilvl w:val="0"/>
          <w:numId w:val="19"/>
        </w:numPr>
        <w:tabs>
          <w:tab w:val="left" w:pos="630"/>
        </w:tabs>
        <w:spacing w:line="360" w:lineRule="auto"/>
        <w:jc w:val="both"/>
        <w:rPr>
          <w:rFonts w:ascii="Arial" w:hAnsi="Arial" w:cs="Arial"/>
          <w:sz w:val="24"/>
          <w:szCs w:val="24"/>
        </w:rPr>
      </w:pPr>
      <w:r w:rsidRPr="00C06C58">
        <w:rPr>
          <w:rFonts w:ascii="Arial" w:hAnsi="Arial" w:cs="Arial"/>
          <w:sz w:val="24"/>
          <w:szCs w:val="24"/>
        </w:rPr>
        <w:t xml:space="preserve">Identification and localization of abnormal foci </w:t>
      </w:r>
      <w:r>
        <w:rPr>
          <w:rFonts w:ascii="Arial" w:hAnsi="Arial" w:cs="Arial"/>
          <w:sz w:val="24"/>
          <w:szCs w:val="24"/>
        </w:rPr>
        <w:t xml:space="preserve">on planar imaging </w:t>
      </w:r>
      <w:r w:rsidRPr="00C06C58">
        <w:rPr>
          <w:rFonts w:ascii="Arial" w:hAnsi="Arial" w:cs="Arial"/>
          <w:sz w:val="24"/>
          <w:szCs w:val="24"/>
        </w:rPr>
        <w:t>may be enhanced by concomitant SPECT/CT imaging.</w:t>
      </w:r>
    </w:p>
    <w:p w14:paraId="4A6CF35C" w14:textId="3ACA6B0A" w:rsidR="00201E6E" w:rsidRPr="002369BD" w:rsidRDefault="00BA3FE0" w:rsidP="00232BDE">
      <w:pPr>
        <w:pStyle w:val="ListParagraph"/>
        <w:numPr>
          <w:ilvl w:val="0"/>
          <w:numId w:val="12"/>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Post-</w:t>
      </w:r>
      <w:r w:rsidR="00A223BD" w:rsidRPr="002369BD">
        <w:rPr>
          <w:rFonts w:ascii="Arial" w:hAnsi="Arial" w:cs="Arial"/>
          <w:i/>
          <w:iCs/>
          <w:sz w:val="24"/>
          <w:szCs w:val="24"/>
        </w:rPr>
        <w:t>T</w:t>
      </w:r>
      <w:r w:rsidRPr="002369BD">
        <w:rPr>
          <w:rFonts w:ascii="Arial" w:hAnsi="Arial" w:cs="Arial"/>
          <w:i/>
          <w:iCs/>
          <w:sz w:val="24"/>
          <w:szCs w:val="24"/>
        </w:rPr>
        <w:t>hyroidectomy, Post-</w:t>
      </w:r>
      <w:r w:rsidR="00A223BD" w:rsidRPr="002369BD">
        <w:rPr>
          <w:rFonts w:ascii="Arial" w:hAnsi="Arial" w:cs="Arial"/>
          <w:i/>
          <w:iCs/>
          <w:sz w:val="24"/>
          <w:szCs w:val="24"/>
        </w:rPr>
        <w:t>RAI A</w:t>
      </w:r>
      <w:r w:rsidRPr="002369BD">
        <w:rPr>
          <w:rFonts w:ascii="Arial" w:hAnsi="Arial" w:cs="Arial"/>
          <w:i/>
          <w:iCs/>
          <w:sz w:val="24"/>
          <w:szCs w:val="24"/>
        </w:rPr>
        <w:t>blation</w:t>
      </w:r>
      <w:r w:rsidR="00A223BD" w:rsidRPr="002369BD">
        <w:rPr>
          <w:rFonts w:ascii="Arial" w:hAnsi="Arial" w:cs="Arial"/>
          <w:i/>
          <w:iCs/>
          <w:sz w:val="24"/>
          <w:szCs w:val="24"/>
        </w:rPr>
        <w:t xml:space="preserve"> Imaging</w:t>
      </w:r>
      <w:r w:rsidR="0068073D" w:rsidRPr="002369BD">
        <w:rPr>
          <w:rFonts w:ascii="Arial" w:hAnsi="Arial" w:cs="Arial"/>
          <w:sz w:val="24"/>
          <w:szCs w:val="24"/>
        </w:rPr>
        <w:t xml:space="preserve"> </w:t>
      </w:r>
    </w:p>
    <w:p w14:paraId="492DDE01" w14:textId="135B0CC6" w:rsidR="00622D28" w:rsidRPr="002369BD" w:rsidRDefault="00622D28" w:rsidP="00232BDE">
      <w:pPr>
        <w:pStyle w:val="ListParagraph"/>
        <w:numPr>
          <w:ilvl w:val="0"/>
          <w:numId w:val="12"/>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 xml:space="preserve">Post-Thyroidectomy/Post-RAI Ablation Imaging for </w:t>
      </w:r>
      <w:r w:rsidR="00254241" w:rsidRPr="002369BD">
        <w:rPr>
          <w:rFonts w:ascii="Arial" w:hAnsi="Arial" w:cs="Arial"/>
          <w:i/>
          <w:iCs/>
          <w:sz w:val="24"/>
          <w:szCs w:val="24"/>
        </w:rPr>
        <w:t>Surveillance:</w:t>
      </w:r>
      <w:r w:rsidR="00DD4CF7" w:rsidRPr="002369BD">
        <w:rPr>
          <w:rFonts w:ascii="Arial" w:hAnsi="Arial" w:cs="Arial"/>
          <w:sz w:val="24"/>
          <w:szCs w:val="24"/>
        </w:rPr>
        <w:t xml:space="preserve">  Scintigraphy for surveillance is </w:t>
      </w:r>
      <w:r w:rsidR="00E346A4" w:rsidRPr="000D7CFA">
        <w:rPr>
          <w:rFonts w:ascii="Arial" w:hAnsi="Arial" w:cs="Arial"/>
          <w:sz w:val="24"/>
          <w:szCs w:val="24"/>
        </w:rPr>
        <w:t>tailored per the risk stratification of the patient and is an ongoing dynamic process.  In general, a low risk patient may not require surveillance</w:t>
      </w:r>
      <w:r w:rsidR="004E709C">
        <w:rPr>
          <w:rFonts w:ascii="Arial" w:hAnsi="Arial" w:cs="Arial"/>
          <w:sz w:val="24"/>
          <w:szCs w:val="24"/>
        </w:rPr>
        <w:t>,</w:t>
      </w:r>
      <w:r w:rsidR="00E346A4" w:rsidRPr="000D7CFA">
        <w:rPr>
          <w:rFonts w:ascii="Arial" w:hAnsi="Arial" w:cs="Arial"/>
          <w:sz w:val="24"/>
          <w:szCs w:val="24"/>
        </w:rPr>
        <w:t xml:space="preserve"> but</w:t>
      </w:r>
      <w:r w:rsidR="004E709C">
        <w:rPr>
          <w:rFonts w:ascii="Arial" w:hAnsi="Arial" w:cs="Arial"/>
          <w:sz w:val="24"/>
          <w:szCs w:val="24"/>
        </w:rPr>
        <w:t xml:space="preserve"> it</w:t>
      </w:r>
      <w:r w:rsidR="00E346A4" w:rsidRPr="000D7CFA">
        <w:rPr>
          <w:rFonts w:ascii="Arial" w:hAnsi="Arial" w:cs="Arial"/>
          <w:sz w:val="24"/>
          <w:szCs w:val="24"/>
        </w:rPr>
        <w:t xml:space="preserve"> is recommended for intermediate to high-risk for recurrent DTC and for those with rising </w:t>
      </w:r>
      <w:proofErr w:type="spellStart"/>
      <w:r w:rsidR="00E346A4" w:rsidRPr="000D7CFA">
        <w:rPr>
          <w:rFonts w:ascii="Arial" w:hAnsi="Arial" w:cs="Arial"/>
          <w:sz w:val="24"/>
          <w:szCs w:val="24"/>
        </w:rPr>
        <w:t>Tg</w:t>
      </w:r>
      <w:proofErr w:type="spellEnd"/>
      <w:r w:rsidR="00E346A4" w:rsidRPr="000D7CFA">
        <w:rPr>
          <w:rFonts w:ascii="Arial" w:hAnsi="Arial" w:cs="Arial"/>
          <w:sz w:val="24"/>
          <w:szCs w:val="24"/>
        </w:rPr>
        <w:t xml:space="preserve"> levels and a negative cervical ultrasound.</w:t>
      </w:r>
    </w:p>
    <w:p w14:paraId="2A2B5D4D" w14:textId="77777777" w:rsidR="001B4B74" w:rsidRPr="002369BD" w:rsidRDefault="001B4B74" w:rsidP="009028D3">
      <w:pPr>
        <w:tabs>
          <w:tab w:val="left" w:pos="360"/>
          <w:tab w:val="left" w:pos="630"/>
        </w:tabs>
        <w:spacing w:after="0" w:line="360" w:lineRule="auto"/>
        <w:jc w:val="both"/>
        <w:rPr>
          <w:rFonts w:ascii="Arial" w:hAnsi="Arial" w:cs="Arial"/>
          <w:sz w:val="24"/>
          <w:szCs w:val="24"/>
          <w:u w:val="single"/>
        </w:rPr>
      </w:pPr>
    </w:p>
    <w:p w14:paraId="6F2551E8" w14:textId="687F8755" w:rsidR="003D26C2" w:rsidRPr="002369BD" w:rsidRDefault="00A36B94" w:rsidP="009028D3">
      <w:pPr>
        <w:tabs>
          <w:tab w:val="left" w:pos="360"/>
          <w:tab w:val="left" w:pos="630"/>
        </w:tabs>
        <w:spacing w:after="0" w:line="360" w:lineRule="auto"/>
        <w:jc w:val="both"/>
        <w:rPr>
          <w:rFonts w:ascii="Arial" w:hAnsi="Arial" w:cs="Arial"/>
          <w:sz w:val="24"/>
          <w:szCs w:val="24"/>
          <w:u w:val="single"/>
        </w:rPr>
      </w:pPr>
      <w:r w:rsidRPr="002369BD">
        <w:rPr>
          <w:rFonts w:ascii="Arial" w:hAnsi="Arial" w:cs="Arial"/>
          <w:sz w:val="24"/>
          <w:szCs w:val="24"/>
        </w:rPr>
        <w:tab/>
      </w:r>
      <w:bookmarkStart w:id="2" w:name="_Hlk11615976"/>
      <w:r w:rsidR="003D26C2" w:rsidRPr="002369BD">
        <w:rPr>
          <w:rFonts w:ascii="Arial" w:hAnsi="Arial" w:cs="Arial"/>
          <w:sz w:val="24"/>
          <w:szCs w:val="24"/>
          <w:u w:val="single"/>
        </w:rPr>
        <w:t>Instrumentation:</w:t>
      </w:r>
    </w:p>
    <w:p w14:paraId="05C42ECA" w14:textId="0278FDEC" w:rsidR="003D26C2" w:rsidRPr="002369BD" w:rsidRDefault="003D26C2" w:rsidP="00232BDE">
      <w:pPr>
        <w:pStyle w:val="ListParagraph"/>
        <w:numPr>
          <w:ilvl w:val="0"/>
          <w:numId w:val="13"/>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131I NaI</w:t>
      </w:r>
      <w:r w:rsidR="005076CB" w:rsidRPr="002369BD">
        <w:rPr>
          <w:rFonts w:ascii="Arial" w:hAnsi="Arial" w:cs="Arial"/>
          <w:i/>
          <w:iCs/>
          <w:sz w:val="24"/>
          <w:szCs w:val="24"/>
        </w:rPr>
        <w:t>:</w:t>
      </w:r>
      <w:r w:rsidR="005076CB" w:rsidRPr="002369BD">
        <w:rPr>
          <w:rFonts w:ascii="Arial" w:hAnsi="Arial" w:cs="Arial"/>
          <w:sz w:val="24"/>
          <w:szCs w:val="24"/>
        </w:rPr>
        <w:t xml:space="preserve"> A</w:t>
      </w:r>
      <w:r w:rsidRPr="002369BD">
        <w:rPr>
          <w:rFonts w:ascii="Arial" w:hAnsi="Arial" w:cs="Arial"/>
          <w:sz w:val="24"/>
          <w:szCs w:val="24"/>
        </w:rPr>
        <w:t xml:space="preserve"> large field-of-view</w:t>
      </w:r>
      <w:r w:rsidR="00B35F94" w:rsidRPr="002369BD">
        <w:rPr>
          <w:rFonts w:ascii="Arial" w:hAnsi="Arial" w:cs="Arial"/>
          <w:sz w:val="24"/>
          <w:szCs w:val="24"/>
        </w:rPr>
        <w:t xml:space="preserve"> </w:t>
      </w:r>
      <w:r w:rsidR="00E64BBD" w:rsidRPr="002369BD">
        <w:rPr>
          <w:rFonts w:ascii="Arial" w:hAnsi="Arial" w:cs="Arial"/>
          <w:sz w:val="24"/>
          <w:szCs w:val="24"/>
        </w:rPr>
        <w:t xml:space="preserve">dual-head </w:t>
      </w:r>
      <w:r w:rsidR="00D51608" w:rsidRPr="002369BD">
        <w:rPr>
          <w:rFonts w:ascii="Arial" w:hAnsi="Arial" w:cs="Arial"/>
          <w:sz w:val="24"/>
          <w:szCs w:val="24"/>
        </w:rPr>
        <w:t xml:space="preserve">gamma </w:t>
      </w:r>
      <w:r w:rsidRPr="002369BD">
        <w:rPr>
          <w:rFonts w:ascii="Arial" w:hAnsi="Arial" w:cs="Arial"/>
          <w:sz w:val="24"/>
          <w:szCs w:val="24"/>
        </w:rPr>
        <w:t xml:space="preserve">camera </w:t>
      </w:r>
      <w:r w:rsidR="00E64BBD" w:rsidRPr="002369BD">
        <w:rPr>
          <w:rFonts w:ascii="Arial" w:hAnsi="Arial" w:cs="Arial"/>
          <w:sz w:val="24"/>
          <w:szCs w:val="24"/>
        </w:rPr>
        <w:t>fitted with</w:t>
      </w:r>
      <w:r w:rsidRPr="002369BD">
        <w:rPr>
          <w:rFonts w:ascii="Arial" w:hAnsi="Arial" w:cs="Arial"/>
          <w:sz w:val="24"/>
          <w:szCs w:val="24"/>
        </w:rPr>
        <w:t xml:space="preserve"> a high-energy</w:t>
      </w:r>
      <w:r w:rsidR="00CF1E6B" w:rsidRPr="002369BD">
        <w:rPr>
          <w:rFonts w:ascii="Arial" w:hAnsi="Arial" w:cs="Arial"/>
          <w:sz w:val="24"/>
          <w:szCs w:val="24"/>
        </w:rPr>
        <w:t xml:space="preserve"> </w:t>
      </w:r>
      <w:r w:rsidRPr="002369BD">
        <w:rPr>
          <w:rFonts w:ascii="Arial" w:hAnsi="Arial" w:cs="Arial"/>
          <w:sz w:val="24"/>
          <w:szCs w:val="24"/>
        </w:rPr>
        <w:t xml:space="preserve">parallel-hole collimator is used. </w:t>
      </w:r>
      <w:r w:rsidR="00D0515A" w:rsidRPr="002369BD">
        <w:rPr>
          <w:rFonts w:ascii="Arial" w:hAnsi="Arial" w:cs="Arial"/>
          <w:sz w:val="24"/>
          <w:szCs w:val="24"/>
        </w:rPr>
        <w:t xml:space="preserve"> </w:t>
      </w:r>
      <w:r w:rsidR="00E64BBD" w:rsidRPr="002369BD">
        <w:rPr>
          <w:rFonts w:ascii="Arial" w:hAnsi="Arial" w:cs="Arial"/>
          <w:sz w:val="24"/>
          <w:szCs w:val="24"/>
        </w:rPr>
        <w:t xml:space="preserve">A </w:t>
      </w:r>
      <w:r w:rsidR="004954D6" w:rsidRPr="002369BD">
        <w:rPr>
          <w:rFonts w:ascii="Arial" w:hAnsi="Arial" w:cs="Arial"/>
          <w:sz w:val="24"/>
          <w:szCs w:val="24"/>
        </w:rPr>
        <w:t>15-20% window is centered on the 364 k</w:t>
      </w:r>
      <w:r w:rsidR="00E64BBD" w:rsidRPr="002369BD">
        <w:rPr>
          <w:rFonts w:ascii="Arial" w:hAnsi="Arial" w:cs="Arial"/>
          <w:sz w:val="24"/>
          <w:szCs w:val="24"/>
        </w:rPr>
        <w:t xml:space="preserve">eV photopeak.  </w:t>
      </w:r>
    </w:p>
    <w:p w14:paraId="4F154F74" w14:textId="4DBB66DF" w:rsidR="000640A5" w:rsidRPr="002369BD" w:rsidRDefault="003D26C2" w:rsidP="00232BDE">
      <w:pPr>
        <w:pStyle w:val="ListParagraph"/>
        <w:numPr>
          <w:ilvl w:val="0"/>
          <w:numId w:val="13"/>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123I</w:t>
      </w:r>
      <w:r w:rsidR="00BC7BB5" w:rsidRPr="002369BD">
        <w:rPr>
          <w:rFonts w:ascii="Arial" w:hAnsi="Arial" w:cs="Arial"/>
          <w:i/>
          <w:iCs/>
          <w:sz w:val="24"/>
          <w:szCs w:val="24"/>
        </w:rPr>
        <w:t xml:space="preserve"> NaI</w:t>
      </w:r>
      <w:r w:rsidR="005076CB" w:rsidRPr="002369BD">
        <w:rPr>
          <w:rFonts w:ascii="Arial" w:hAnsi="Arial" w:cs="Arial"/>
          <w:i/>
          <w:iCs/>
          <w:sz w:val="24"/>
          <w:szCs w:val="24"/>
        </w:rPr>
        <w:t>:</w:t>
      </w:r>
      <w:r w:rsidRPr="002369BD">
        <w:rPr>
          <w:rFonts w:ascii="Arial" w:hAnsi="Arial" w:cs="Arial"/>
          <w:sz w:val="24"/>
          <w:szCs w:val="24"/>
        </w:rPr>
        <w:t xml:space="preserve"> </w:t>
      </w:r>
      <w:r w:rsidR="005076CB" w:rsidRPr="002369BD">
        <w:rPr>
          <w:rFonts w:ascii="Arial" w:hAnsi="Arial" w:cs="Arial"/>
          <w:sz w:val="24"/>
          <w:szCs w:val="24"/>
        </w:rPr>
        <w:t>A</w:t>
      </w:r>
      <w:r w:rsidR="000640A5" w:rsidRPr="002369BD">
        <w:rPr>
          <w:rFonts w:ascii="Arial" w:hAnsi="Arial" w:cs="Arial"/>
          <w:sz w:val="24"/>
          <w:szCs w:val="24"/>
        </w:rPr>
        <w:t xml:space="preserve"> low- or medium-energy collimator is used</w:t>
      </w:r>
      <w:r w:rsidR="004969D0" w:rsidRPr="002369BD">
        <w:rPr>
          <w:rFonts w:ascii="Arial" w:hAnsi="Arial" w:cs="Arial"/>
          <w:sz w:val="24"/>
          <w:szCs w:val="24"/>
        </w:rPr>
        <w:t xml:space="preserve"> </w:t>
      </w:r>
      <w:r w:rsidR="000640A5" w:rsidRPr="002369BD">
        <w:rPr>
          <w:rFonts w:ascii="Arial" w:hAnsi="Arial" w:cs="Arial"/>
          <w:sz w:val="24"/>
          <w:szCs w:val="24"/>
        </w:rPr>
        <w:t xml:space="preserve">depending upon the manufacturer’s specifications.  </w:t>
      </w:r>
      <w:r w:rsidR="004954D6" w:rsidRPr="002369BD">
        <w:rPr>
          <w:rFonts w:ascii="Arial" w:hAnsi="Arial" w:cs="Arial"/>
          <w:sz w:val="24"/>
          <w:szCs w:val="24"/>
        </w:rPr>
        <w:t>A 15-20% window is ce</w:t>
      </w:r>
      <w:r w:rsidR="00480621" w:rsidRPr="002369BD">
        <w:rPr>
          <w:rFonts w:ascii="Arial" w:hAnsi="Arial" w:cs="Arial"/>
          <w:sz w:val="24"/>
          <w:szCs w:val="24"/>
        </w:rPr>
        <w:t>ntered on the 159 keV photopeak.</w:t>
      </w:r>
    </w:p>
    <w:p w14:paraId="05133B7A" w14:textId="4AA5883D" w:rsidR="39022FE1" w:rsidRPr="002369BD" w:rsidRDefault="39022FE1" w:rsidP="00232BDE">
      <w:pPr>
        <w:pStyle w:val="ListParagraph"/>
        <w:numPr>
          <w:ilvl w:val="0"/>
          <w:numId w:val="13"/>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 xml:space="preserve">FDG: </w:t>
      </w:r>
      <w:r w:rsidRPr="002369BD">
        <w:rPr>
          <w:rFonts w:ascii="Arial" w:hAnsi="Arial" w:cs="Arial"/>
          <w:sz w:val="24"/>
          <w:szCs w:val="24"/>
        </w:rPr>
        <w:t xml:space="preserve"> Follow a usual PET/CT oncology protocol.  </w:t>
      </w:r>
    </w:p>
    <w:bookmarkEnd w:id="2"/>
    <w:p w14:paraId="38B9A5D5" w14:textId="77777777" w:rsidR="00480621" w:rsidRPr="002369BD" w:rsidRDefault="00480621" w:rsidP="009028D3">
      <w:pPr>
        <w:tabs>
          <w:tab w:val="left" w:pos="360"/>
          <w:tab w:val="left" w:pos="630"/>
        </w:tabs>
        <w:spacing w:after="0" w:line="360" w:lineRule="auto"/>
        <w:jc w:val="both"/>
        <w:rPr>
          <w:rFonts w:ascii="Arial" w:hAnsi="Arial" w:cs="Arial"/>
          <w:sz w:val="24"/>
          <w:szCs w:val="24"/>
        </w:rPr>
      </w:pPr>
    </w:p>
    <w:p w14:paraId="3EDC438A" w14:textId="7F77AB9B" w:rsidR="003D26C2" w:rsidRPr="002369BD" w:rsidRDefault="00A36B94" w:rsidP="009028D3">
      <w:pPr>
        <w:tabs>
          <w:tab w:val="left" w:pos="360"/>
          <w:tab w:val="left" w:pos="630"/>
        </w:tabs>
        <w:spacing w:after="0" w:line="360" w:lineRule="auto"/>
        <w:jc w:val="both"/>
        <w:rPr>
          <w:rFonts w:ascii="Arial" w:hAnsi="Arial" w:cs="Arial"/>
          <w:sz w:val="24"/>
          <w:szCs w:val="24"/>
          <w:u w:val="single"/>
        </w:rPr>
      </w:pPr>
      <w:r w:rsidRPr="002369BD">
        <w:rPr>
          <w:rFonts w:ascii="Arial" w:hAnsi="Arial" w:cs="Arial"/>
          <w:sz w:val="24"/>
          <w:szCs w:val="24"/>
        </w:rPr>
        <w:tab/>
      </w:r>
      <w:r w:rsidR="00A42870" w:rsidRPr="002369BD">
        <w:rPr>
          <w:rFonts w:ascii="Arial" w:hAnsi="Arial" w:cs="Arial"/>
          <w:sz w:val="24"/>
          <w:szCs w:val="24"/>
          <w:u w:val="single"/>
        </w:rPr>
        <w:t>Patient</w:t>
      </w:r>
      <w:r w:rsidR="00254241" w:rsidRPr="002369BD">
        <w:rPr>
          <w:rFonts w:ascii="Arial" w:hAnsi="Arial" w:cs="Arial"/>
          <w:sz w:val="24"/>
          <w:szCs w:val="24"/>
          <w:u w:val="single"/>
        </w:rPr>
        <w:t xml:space="preserve"> </w:t>
      </w:r>
      <w:r w:rsidR="00C33D5F" w:rsidRPr="002369BD">
        <w:rPr>
          <w:rFonts w:ascii="Arial" w:hAnsi="Arial" w:cs="Arial"/>
          <w:sz w:val="24"/>
          <w:szCs w:val="24"/>
          <w:u w:val="single"/>
        </w:rPr>
        <w:t>Maneuvers:</w:t>
      </w:r>
    </w:p>
    <w:p w14:paraId="2A1E0715" w14:textId="3476AEC8" w:rsidR="00D056A9" w:rsidRPr="002369BD" w:rsidRDefault="00D056A9" w:rsidP="00232BDE">
      <w:pPr>
        <w:pStyle w:val="ListParagraph"/>
        <w:numPr>
          <w:ilvl w:val="0"/>
          <w:numId w:val="14"/>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Clear</w:t>
      </w:r>
      <w:r w:rsidR="000436DB" w:rsidRPr="002369BD">
        <w:rPr>
          <w:rFonts w:ascii="Arial" w:hAnsi="Arial" w:cs="Arial"/>
          <w:i/>
          <w:iCs/>
          <w:sz w:val="24"/>
          <w:szCs w:val="24"/>
        </w:rPr>
        <w:t>ance of</w:t>
      </w:r>
      <w:r w:rsidRPr="002369BD">
        <w:rPr>
          <w:rFonts w:ascii="Arial" w:hAnsi="Arial" w:cs="Arial"/>
          <w:i/>
          <w:iCs/>
          <w:sz w:val="24"/>
          <w:szCs w:val="24"/>
        </w:rPr>
        <w:t xml:space="preserve"> </w:t>
      </w:r>
      <w:r w:rsidR="00A36B94" w:rsidRPr="002369BD">
        <w:rPr>
          <w:rFonts w:ascii="Arial" w:hAnsi="Arial" w:cs="Arial"/>
          <w:i/>
          <w:iCs/>
          <w:sz w:val="24"/>
          <w:szCs w:val="24"/>
        </w:rPr>
        <w:t xml:space="preserve">confounding </w:t>
      </w:r>
      <w:r w:rsidRPr="002369BD">
        <w:rPr>
          <w:rFonts w:ascii="Arial" w:hAnsi="Arial" w:cs="Arial"/>
          <w:i/>
          <w:iCs/>
          <w:sz w:val="24"/>
          <w:szCs w:val="24"/>
        </w:rPr>
        <w:t xml:space="preserve">physiologic activity: </w:t>
      </w:r>
      <w:r w:rsidRPr="002369BD">
        <w:rPr>
          <w:rFonts w:ascii="Arial" w:hAnsi="Arial" w:cs="Arial"/>
          <w:sz w:val="24"/>
          <w:szCs w:val="24"/>
        </w:rPr>
        <w:t>The patient should drink a large glass of water</w:t>
      </w:r>
      <w:r w:rsidR="00254241" w:rsidRPr="002369BD">
        <w:rPr>
          <w:rFonts w:ascii="Arial" w:hAnsi="Arial" w:cs="Arial"/>
          <w:sz w:val="24"/>
          <w:szCs w:val="24"/>
        </w:rPr>
        <w:t xml:space="preserve"> and/or </w:t>
      </w:r>
      <w:r w:rsidR="00201E6E" w:rsidRPr="002369BD">
        <w:rPr>
          <w:rFonts w:ascii="Arial" w:hAnsi="Arial" w:cs="Arial"/>
          <w:sz w:val="24"/>
          <w:szCs w:val="24"/>
        </w:rPr>
        <w:t xml:space="preserve">chew and swallow crackers </w:t>
      </w:r>
      <w:r w:rsidRPr="002369BD">
        <w:rPr>
          <w:rFonts w:ascii="Arial" w:hAnsi="Arial" w:cs="Arial"/>
          <w:sz w:val="24"/>
          <w:szCs w:val="24"/>
        </w:rPr>
        <w:t>before each set of images to clear physiologic</w:t>
      </w:r>
      <w:r w:rsidR="00C95672" w:rsidRPr="002369BD">
        <w:rPr>
          <w:rFonts w:ascii="Arial" w:hAnsi="Arial" w:cs="Arial"/>
          <w:sz w:val="24"/>
          <w:szCs w:val="24"/>
        </w:rPr>
        <w:t xml:space="preserve"> </w:t>
      </w:r>
      <w:r w:rsidRPr="002369BD">
        <w:rPr>
          <w:rFonts w:ascii="Arial" w:hAnsi="Arial" w:cs="Arial"/>
          <w:sz w:val="24"/>
          <w:szCs w:val="24"/>
        </w:rPr>
        <w:t>pharyngeal and</w:t>
      </w:r>
      <w:r w:rsidR="00C47864">
        <w:rPr>
          <w:rFonts w:ascii="Arial" w:hAnsi="Arial" w:cs="Arial"/>
          <w:sz w:val="24"/>
          <w:szCs w:val="24"/>
        </w:rPr>
        <w:t>/or</w:t>
      </w:r>
      <w:r w:rsidRPr="002369BD">
        <w:rPr>
          <w:rFonts w:ascii="Arial" w:hAnsi="Arial" w:cs="Arial"/>
          <w:sz w:val="24"/>
          <w:szCs w:val="24"/>
        </w:rPr>
        <w:t xml:space="preserve"> esophageal activity.</w:t>
      </w:r>
      <w:r w:rsidR="00254241" w:rsidRPr="002369BD">
        <w:rPr>
          <w:rFonts w:ascii="Arial" w:hAnsi="Arial" w:cs="Arial"/>
          <w:sz w:val="24"/>
          <w:szCs w:val="24"/>
        </w:rPr>
        <w:t xml:space="preserve">  </w:t>
      </w:r>
    </w:p>
    <w:p w14:paraId="5764B7DB" w14:textId="3C35BCFE" w:rsidR="00555678" w:rsidRPr="002369BD" w:rsidRDefault="00555678" w:rsidP="00232BDE">
      <w:pPr>
        <w:pStyle w:val="ListParagraph"/>
        <w:numPr>
          <w:ilvl w:val="0"/>
          <w:numId w:val="14"/>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 xml:space="preserve">Imaging position: </w:t>
      </w:r>
      <w:r w:rsidRPr="002369BD">
        <w:rPr>
          <w:rFonts w:ascii="Arial" w:hAnsi="Arial" w:cs="Arial"/>
          <w:sz w:val="24"/>
          <w:szCs w:val="24"/>
        </w:rPr>
        <w:t>The patient should lie supine on an imaging table with the neck slightly extended.  Include the chin and arms in the field-of-view.</w:t>
      </w:r>
    </w:p>
    <w:p w14:paraId="56CD9E28" w14:textId="128C126A" w:rsidR="00074962" w:rsidRPr="002369BD" w:rsidRDefault="00074962" w:rsidP="009028D3">
      <w:pPr>
        <w:tabs>
          <w:tab w:val="left" w:pos="360"/>
          <w:tab w:val="left" w:pos="630"/>
          <w:tab w:val="left" w:pos="720"/>
          <w:tab w:val="left" w:pos="1080"/>
          <w:tab w:val="left" w:pos="1440"/>
        </w:tabs>
        <w:spacing w:after="0" w:line="360" w:lineRule="auto"/>
        <w:jc w:val="both"/>
        <w:rPr>
          <w:rFonts w:ascii="Arial" w:hAnsi="Arial" w:cs="Arial"/>
          <w:sz w:val="24"/>
          <w:szCs w:val="24"/>
        </w:rPr>
      </w:pPr>
    </w:p>
    <w:p w14:paraId="0DF3BAE0" w14:textId="435AAB4E" w:rsidR="000C662E" w:rsidRPr="002369BD" w:rsidRDefault="00A36B94" w:rsidP="009028D3">
      <w:pPr>
        <w:tabs>
          <w:tab w:val="left" w:pos="360"/>
          <w:tab w:val="left" w:pos="630"/>
          <w:tab w:val="left" w:pos="720"/>
          <w:tab w:val="left" w:pos="1080"/>
          <w:tab w:val="left" w:pos="1440"/>
        </w:tabs>
        <w:spacing w:after="0" w:line="360" w:lineRule="auto"/>
        <w:jc w:val="both"/>
        <w:rPr>
          <w:rFonts w:ascii="Arial" w:hAnsi="Arial" w:cs="Arial"/>
          <w:sz w:val="24"/>
          <w:szCs w:val="24"/>
          <w:u w:val="single"/>
        </w:rPr>
      </w:pPr>
      <w:r w:rsidRPr="002369BD">
        <w:rPr>
          <w:rFonts w:ascii="Arial" w:hAnsi="Arial" w:cs="Arial"/>
          <w:sz w:val="24"/>
          <w:szCs w:val="24"/>
        </w:rPr>
        <w:tab/>
      </w:r>
      <w:r w:rsidR="000C662E" w:rsidRPr="002369BD">
        <w:rPr>
          <w:rFonts w:ascii="Arial" w:hAnsi="Arial" w:cs="Arial"/>
          <w:sz w:val="24"/>
          <w:szCs w:val="24"/>
          <w:u w:val="single"/>
        </w:rPr>
        <w:t>Timing:</w:t>
      </w:r>
    </w:p>
    <w:p w14:paraId="54F38DE8" w14:textId="40792C84" w:rsidR="002B6B2D" w:rsidRPr="002369BD" w:rsidRDefault="00525882" w:rsidP="00232BDE">
      <w:pPr>
        <w:pStyle w:val="ListParagraph"/>
        <w:numPr>
          <w:ilvl w:val="0"/>
          <w:numId w:val="15"/>
        </w:numPr>
        <w:tabs>
          <w:tab w:val="left" w:pos="360"/>
          <w:tab w:val="left" w:pos="630"/>
          <w:tab w:val="left" w:pos="720"/>
          <w:tab w:val="left" w:pos="1080"/>
          <w:tab w:val="left" w:pos="1440"/>
        </w:tabs>
        <w:spacing w:after="0" w:line="360" w:lineRule="auto"/>
        <w:jc w:val="both"/>
        <w:rPr>
          <w:rFonts w:ascii="Arial" w:hAnsi="Arial" w:cs="Arial"/>
          <w:i/>
          <w:iCs/>
          <w:sz w:val="24"/>
          <w:szCs w:val="24"/>
        </w:rPr>
      </w:pPr>
      <w:r w:rsidRPr="002369BD">
        <w:rPr>
          <w:rFonts w:ascii="Arial" w:hAnsi="Arial" w:cs="Arial"/>
          <w:i/>
          <w:iCs/>
          <w:sz w:val="24"/>
          <w:szCs w:val="24"/>
        </w:rPr>
        <w:lastRenderedPageBreak/>
        <w:t>131I NaI</w:t>
      </w:r>
      <w:r w:rsidRPr="002369BD">
        <w:rPr>
          <w:rFonts w:ascii="Arial" w:hAnsi="Arial" w:cs="Arial"/>
          <w:sz w:val="24"/>
          <w:szCs w:val="24"/>
        </w:rPr>
        <w:t>: Pre-ablation and surveillance</w:t>
      </w:r>
      <w:r w:rsidR="000C662E" w:rsidRPr="002369BD">
        <w:rPr>
          <w:rFonts w:ascii="Arial" w:hAnsi="Arial" w:cs="Arial"/>
          <w:sz w:val="24"/>
          <w:szCs w:val="24"/>
        </w:rPr>
        <w:t xml:space="preserve"> images are obtained </w:t>
      </w:r>
      <w:r w:rsidR="00A3753D" w:rsidRPr="002369BD">
        <w:rPr>
          <w:rFonts w:ascii="Arial" w:hAnsi="Arial" w:cs="Arial"/>
          <w:sz w:val="24"/>
          <w:szCs w:val="24"/>
        </w:rPr>
        <w:t>between</w:t>
      </w:r>
      <w:r w:rsidR="001036DC" w:rsidRPr="002369BD">
        <w:rPr>
          <w:rFonts w:ascii="Arial" w:hAnsi="Arial" w:cs="Arial"/>
          <w:sz w:val="24"/>
          <w:szCs w:val="24"/>
        </w:rPr>
        <w:t xml:space="preserve"> </w:t>
      </w:r>
      <w:r w:rsidR="002D7060" w:rsidRPr="002369BD">
        <w:rPr>
          <w:rFonts w:ascii="Arial" w:hAnsi="Arial" w:cs="Arial"/>
          <w:sz w:val="24"/>
          <w:szCs w:val="24"/>
        </w:rPr>
        <w:t>24</w:t>
      </w:r>
      <w:r w:rsidR="00A3753D" w:rsidRPr="002369BD">
        <w:rPr>
          <w:rFonts w:ascii="Arial" w:hAnsi="Arial" w:cs="Arial"/>
          <w:sz w:val="24"/>
          <w:szCs w:val="24"/>
        </w:rPr>
        <w:t xml:space="preserve"> and 72</w:t>
      </w:r>
      <w:r w:rsidR="001036DC" w:rsidRPr="002369BD">
        <w:rPr>
          <w:rFonts w:ascii="Arial" w:hAnsi="Arial" w:cs="Arial"/>
          <w:sz w:val="24"/>
          <w:szCs w:val="24"/>
        </w:rPr>
        <w:t xml:space="preserve"> hours after RAI administratio</w:t>
      </w:r>
      <w:r w:rsidR="001036DC" w:rsidRPr="002369BD">
        <w:rPr>
          <w:rFonts w:ascii="Arial" w:hAnsi="Arial" w:cs="Arial"/>
          <w:color w:val="000000" w:themeColor="text1"/>
          <w:sz w:val="24"/>
          <w:szCs w:val="24"/>
        </w:rPr>
        <w:t>n</w:t>
      </w:r>
      <w:r w:rsidR="002D7060" w:rsidRPr="002369BD">
        <w:rPr>
          <w:rFonts w:ascii="Arial" w:hAnsi="Arial" w:cs="Arial"/>
          <w:color w:val="000000" w:themeColor="text1"/>
          <w:sz w:val="24"/>
          <w:szCs w:val="24"/>
        </w:rPr>
        <w:t xml:space="preserve"> (24</w:t>
      </w:r>
      <w:r w:rsidR="002165E5" w:rsidRPr="002369BD">
        <w:rPr>
          <w:rFonts w:ascii="Arial" w:hAnsi="Arial" w:cs="Arial"/>
          <w:color w:val="000000" w:themeColor="text1"/>
          <w:sz w:val="24"/>
          <w:szCs w:val="24"/>
        </w:rPr>
        <w:t>-</w:t>
      </w:r>
      <w:r w:rsidR="002D7060" w:rsidRPr="002369BD">
        <w:rPr>
          <w:rFonts w:ascii="Arial" w:hAnsi="Arial" w:cs="Arial"/>
          <w:color w:val="000000" w:themeColor="text1"/>
          <w:sz w:val="24"/>
          <w:szCs w:val="24"/>
        </w:rPr>
        <w:t>hour images may not have clearly-defined activity</w:t>
      </w:r>
      <w:r w:rsidR="002165E5" w:rsidRPr="002369BD">
        <w:rPr>
          <w:rFonts w:ascii="Arial" w:hAnsi="Arial" w:cs="Arial"/>
          <w:color w:val="000000" w:themeColor="text1"/>
          <w:sz w:val="24"/>
          <w:szCs w:val="24"/>
        </w:rPr>
        <w:t>, thus</w:t>
      </w:r>
      <w:r w:rsidR="002D7060" w:rsidRPr="002369BD">
        <w:rPr>
          <w:rFonts w:ascii="Arial" w:hAnsi="Arial" w:cs="Arial"/>
          <w:color w:val="000000" w:themeColor="text1"/>
          <w:sz w:val="24"/>
          <w:szCs w:val="24"/>
        </w:rPr>
        <w:t xml:space="preserve"> the patient may need to be brought back </w:t>
      </w:r>
      <w:r w:rsidR="002165E5" w:rsidRPr="002369BD">
        <w:rPr>
          <w:rFonts w:ascii="Arial" w:hAnsi="Arial" w:cs="Arial"/>
          <w:color w:val="000000" w:themeColor="text1"/>
          <w:sz w:val="24"/>
          <w:szCs w:val="24"/>
        </w:rPr>
        <w:t>at 48 to 72 hours to improve lesion detection</w:t>
      </w:r>
      <w:r w:rsidR="002D7060" w:rsidRPr="002369BD">
        <w:rPr>
          <w:rFonts w:ascii="Arial" w:hAnsi="Arial" w:cs="Arial"/>
          <w:color w:val="000000" w:themeColor="text1"/>
          <w:sz w:val="24"/>
          <w:szCs w:val="24"/>
        </w:rPr>
        <w:t xml:space="preserve"> repeat imaging </w:t>
      </w:r>
      <w:r w:rsidR="006D0525" w:rsidRPr="002369BD">
        <w:rPr>
          <w:rFonts w:ascii="Arial" w:hAnsi="Arial" w:cs="Arial"/>
          <w:color w:val="000000" w:themeColor="text1"/>
          <w:sz w:val="24"/>
          <w:szCs w:val="24"/>
        </w:rPr>
        <w:t xml:space="preserve">to </w:t>
      </w:r>
      <w:r w:rsidR="002D7060" w:rsidRPr="002369BD">
        <w:rPr>
          <w:rFonts w:ascii="Arial" w:hAnsi="Arial" w:cs="Arial"/>
          <w:color w:val="000000" w:themeColor="text1"/>
          <w:sz w:val="24"/>
          <w:szCs w:val="24"/>
        </w:rPr>
        <w:t>allow an improved target to background ratio)</w:t>
      </w:r>
      <w:r w:rsidR="000C662E" w:rsidRPr="002369BD">
        <w:rPr>
          <w:rFonts w:ascii="Arial" w:hAnsi="Arial" w:cs="Arial"/>
          <w:color w:val="000000" w:themeColor="text1"/>
          <w:sz w:val="24"/>
          <w:szCs w:val="24"/>
        </w:rPr>
        <w:t xml:space="preserve">. </w:t>
      </w:r>
      <w:r w:rsidR="00B05B6E" w:rsidRPr="002369BD">
        <w:rPr>
          <w:rFonts w:ascii="Arial" w:hAnsi="Arial" w:cs="Arial"/>
          <w:color w:val="000000" w:themeColor="text1"/>
          <w:sz w:val="24"/>
          <w:szCs w:val="24"/>
        </w:rPr>
        <w:t xml:space="preserve"> </w:t>
      </w:r>
      <w:r w:rsidRPr="002369BD">
        <w:rPr>
          <w:rFonts w:ascii="Arial" w:eastAsia="Calibri" w:hAnsi="Arial" w:cs="Arial"/>
          <w:color w:val="000000" w:themeColor="text1"/>
          <w:sz w:val="24"/>
          <w:szCs w:val="24"/>
        </w:rPr>
        <w:t>P</w:t>
      </w:r>
      <w:r w:rsidR="00BC71C6" w:rsidRPr="002369BD">
        <w:rPr>
          <w:rFonts w:ascii="Arial" w:eastAsia="Calibri" w:hAnsi="Arial" w:cs="Arial"/>
          <w:color w:val="000000" w:themeColor="text1"/>
          <w:sz w:val="24"/>
          <w:szCs w:val="24"/>
        </w:rPr>
        <w:t>ost-</w:t>
      </w:r>
      <w:r w:rsidRPr="002369BD">
        <w:rPr>
          <w:rFonts w:ascii="Arial" w:eastAsia="Calibri" w:hAnsi="Arial" w:cs="Arial"/>
          <w:color w:val="000000" w:themeColor="text1"/>
          <w:sz w:val="24"/>
          <w:szCs w:val="24"/>
        </w:rPr>
        <w:t xml:space="preserve">RAI </w:t>
      </w:r>
      <w:r w:rsidR="007E34F3" w:rsidRPr="002369BD">
        <w:rPr>
          <w:rFonts w:ascii="Arial" w:eastAsia="Calibri" w:hAnsi="Arial" w:cs="Arial"/>
          <w:color w:val="000000" w:themeColor="text1"/>
          <w:sz w:val="24"/>
          <w:szCs w:val="24"/>
        </w:rPr>
        <w:t>ablation</w:t>
      </w:r>
      <w:r w:rsidR="00BC71C6" w:rsidRPr="002369BD">
        <w:rPr>
          <w:rFonts w:ascii="Arial" w:eastAsia="Calibri" w:hAnsi="Arial" w:cs="Arial"/>
          <w:color w:val="000000" w:themeColor="text1"/>
          <w:sz w:val="24"/>
          <w:szCs w:val="24"/>
        </w:rPr>
        <w:t xml:space="preserve"> images </w:t>
      </w:r>
      <w:r w:rsidR="00A3753D" w:rsidRPr="002369BD">
        <w:rPr>
          <w:rFonts w:ascii="Arial" w:eastAsia="Calibri" w:hAnsi="Arial" w:cs="Arial"/>
          <w:color w:val="000000" w:themeColor="text1"/>
          <w:sz w:val="24"/>
          <w:szCs w:val="24"/>
        </w:rPr>
        <w:t xml:space="preserve">can be obtained 2 to </w:t>
      </w:r>
      <w:r w:rsidR="00001D6C" w:rsidRPr="002369BD">
        <w:rPr>
          <w:rFonts w:ascii="Arial" w:eastAsia="Calibri" w:hAnsi="Arial" w:cs="Arial"/>
          <w:color w:val="000000" w:themeColor="text1"/>
          <w:sz w:val="24"/>
          <w:szCs w:val="24"/>
        </w:rPr>
        <w:t>7</w:t>
      </w:r>
      <w:r w:rsidR="00A3753D" w:rsidRPr="002369BD">
        <w:rPr>
          <w:rFonts w:ascii="Arial" w:eastAsia="Calibri" w:hAnsi="Arial" w:cs="Arial"/>
          <w:color w:val="000000" w:themeColor="text1"/>
          <w:sz w:val="24"/>
          <w:szCs w:val="24"/>
        </w:rPr>
        <w:t xml:space="preserve"> days </w:t>
      </w:r>
      <w:r w:rsidR="007A74D8" w:rsidRPr="002369BD">
        <w:rPr>
          <w:rFonts w:ascii="Arial" w:eastAsia="Calibri" w:hAnsi="Arial" w:cs="Arial"/>
          <w:color w:val="000000" w:themeColor="text1"/>
          <w:sz w:val="24"/>
          <w:szCs w:val="24"/>
        </w:rPr>
        <w:t>after treatment</w:t>
      </w:r>
      <w:r w:rsidR="00BC71C6" w:rsidRPr="002369BD">
        <w:rPr>
          <w:rFonts w:ascii="Arial" w:eastAsia="Calibri" w:hAnsi="Arial" w:cs="Arial"/>
          <w:color w:val="000000" w:themeColor="text1"/>
          <w:sz w:val="24"/>
          <w:szCs w:val="24"/>
        </w:rPr>
        <w:t xml:space="preserve">. </w:t>
      </w:r>
    </w:p>
    <w:p w14:paraId="3C89C76F" w14:textId="7563FEE1" w:rsidR="002B6B2D" w:rsidRPr="002369BD" w:rsidRDefault="002B6B2D" w:rsidP="00232BDE">
      <w:pPr>
        <w:pStyle w:val="ListParagraph"/>
        <w:numPr>
          <w:ilvl w:val="0"/>
          <w:numId w:val="15"/>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123I NaI:</w:t>
      </w:r>
      <w:r w:rsidRPr="002369BD">
        <w:rPr>
          <w:rFonts w:ascii="Arial" w:hAnsi="Arial" w:cs="Arial"/>
          <w:sz w:val="24"/>
          <w:szCs w:val="24"/>
        </w:rPr>
        <w:t xml:space="preserve">  </w:t>
      </w:r>
      <w:r w:rsidR="00084C67" w:rsidRPr="002369BD">
        <w:rPr>
          <w:rFonts w:ascii="Arial" w:hAnsi="Arial" w:cs="Arial"/>
          <w:sz w:val="24"/>
          <w:szCs w:val="24"/>
        </w:rPr>
        <w:t>P</w:t>
      </w:r>
      <w:r w:rsidR="00796AFD" w:rsidRPr="002369BD">
        <w:rPr>
          <w:rFonts w:ascii="Arial" w:hAnsi="Arial" w:cs="Arial"/>
          <w:sz w:val="24"/>
          <w:szCs w:val="24"/>
        </w:rPr>
        <w:t xml:space="preserve">re-ablation or surveillance </w:t>
      </w:r>
      <w:r w:rsidRPr="002369BD">
        <w:rPr>
          <w:rFonts w:ascii="Arial" w:hAnsi="Arial" w:cs="Arial"/>
          <w:sz w:val="24"/>
          <w:szCs w:val="24"/>
        </w:rPr>
        <w:t>images are obtained 6</w:t>
      </w:r>
      <w:r w:rsidR="007A74D8" w:rsidRPr="002369BD">
        <w:rPr>
          <w:rFonts w:ascii="Arial" w:hAnsi="Arial" w:cs="Arial"/>
          <w:sz w:val="24"/>
          <w:szCs w:val="24"/>
        </w:rPr>
        <w:t xml:space="preserve"> to </w:t>
      </w:r>
      <w:r w:rsidR="00BC1A85" w:rsidRPr="002369BD">
        <w:rPr>
          <w:rFonts w:ascii="Arial" w:hAnsi="Arial" w:cs="Arial"/>
          <w:sz w:val="24"/>
          <w:szCs w:val="24"/>
        </w:rPr>
        <w:t>24</w:t>
      </w:r>
      <w:r w:rsidRPr="002369BD">
        <w:rPr>
          <w:rFonts w:ascii="Arial" w:hAnsi="Arial" w:cs="Arial"/>
          <w:sz w:val="24"/>
          <w:szCs w:val="24"/>
        </w:rPr>
        <w:t xml:space="preserve"> h</w:t>
      </w:r>
      <w:r w:rsidR="00BC1A85" w:rsidRPr="002369BD">
        <w:rPr>
          <w:rFonts w:ascii="Arial" w:hAnsi="Arial" w:cs="Arial"/>
          <w:sz w:val="24"/>
          <w:szCs w:val="24"/>
        </w:rPr>
        <w:t>ours</w:t>
      </w:r>
      <w:r w:rsidRPr="002369BD">
        <w:rPr>
          <w:rFonts w:ascii="Arial" w:hAnsi="Arial" w:cs="Arial"/>
          <w:sz w:val="24"/>
          <w:szCs w:val="24"/>
        </w:rPr>
        <w:t xml:space="preserve"> </w:t>
      </w:r>
      <w:r w:rsidR="007C3BBF" w:rsidRPr="002369BD">
        <w:rPr>
          <w:rFonts w:ascii="Arial" w:hAnsi="Arial" w:cs="Arial"/>
          <w:sz w:val="24"/>
          <w:szCs w:val="24"/>
        </w:rPr>
        <w:t>after administration</w:t>
      </w:r>
      <w:r w:rsidR="005A2F3F" w:rsidRPr="002369BD">
        <w:rPr>
          <w:rFonts w:ascii="Arial" w:hAnsi="Arial" w:cs="Arial"/>
          <w:sz w:val="24"/>
          <w:szCs w:val="24"/>
        </w:rPr>
        <w:t xml:space="preserve"> of this radiopharmaceutical</w:t>
      </w:r>
      <w:r w:rsidRPr="002369BD">
        <w:rPr>
          <w:rFonts w:ascii="Arial" w:hAnsi="Arial" w:cs="Arial"/>
          <w:sz w:val="24"/>
          <w:szCs w:val="24"/>
        </w:rPr>
        <w:t xml:space="preserve">. </w:t>
      </w:r>
      <w:r w:rsidR="00796AFD" w:rsidRPr="002369BD">
        <w:rPr>
          <w:rFonts w:ascii="Arial" w:hAnsi="Arial" w:cs="Arial"/>
          <w:sz w:val="24"/>
          <w:szCs w:val="24"/>
        </w:rPr>
        <w:t xml:space="preserve"> </w:t>
      </w:r>
      <w:r w:rsidR="00AA6D86" w:rsidRPr="002369BD">
        <w:rPr>
          <w:rFonts w:ascii="Arial" w:hAnsi="Arial" w:cs="Arial"/>
          <w:sz w:val="24"/>
          <w:szCs w:val="24"/>
        </w:rPr>
        <w:t>Some prefer 12</w:t>
      </w:r>
      <w:r w:rsidR="006D0525" w:rsidRPr="002369BD">
        <w:rPr>
          <w:rFonts w:ascii="Arial" w:hAnsi="Arial" w:cs="Arial"/>
          <w:sz w:val="24"/>
          <w:szCs w:val="24"/>
        </w:rPr>
        <w:t>3</w:t>
      </w:r>
      <w:r w:rsidR="00AA6D86" w:rsidRPr="002369BD">
        <w:rPr>
          <w:rFonts w:ascii="Arial" w:hAnsi="Arial" w:cs="Arial"/>
          <w:sz w:val="24"/>
          <w:szCs w:val="24"/>
        </w:rPr>
        <w:t>I NaI as i</w:t>
      </w:r>
      <w:r w:rsidR="00796AFD" w:rsidRPr="002369BD">
        <w:rPr>
          <w:rFonts w:ascii="Arial" w:hAnsi="Arial" w:cs="Arial"/>
          <w:sz w:val="24"/>
          <w:szCs w:val="24"/>
        </w:rPr>
        <w:t>mages are of higher quality than with 131I NaI</w:t>
      </w:r>
      <w:r w:rsidR="00422B29" w:rsidRPr="002369BD">
        <w:rPr>
          <w:rFonts w:ascii="Arial" w:hAnsi="Arial" w:cs="Arial"/>
          <w:sz w:val="24"/>
          <w:szCs w:val="24"/>
        </w:rPr>
        <w:t xml:space="preserve"> and stunning may be prevented</w:t>
      </w:r>
      <w:r w:rsidR="00796AFD" w:rsidRPr="002369BD">
        <w:rPr>
          <w:rFonts w:ascii="Arial" w:hAnsi="Arial" w:cs="Arial"/>
          <w:sz w:val="24"/>
          <w:szCs w:val="24"/>
        </w:rPr>
        <w:t>,</w:t>
      </w:r>
      <w:r w:rsidR="005A66BA">
        <w:rPr>
          <w:rFonts w:ascii="Arial" w:hAnsi="Arial" w:cs="Arial"/>
          <w:sz w:val="24"/>
          <w:szCs w:val="24"/>
        </w:rPr>
        <w:t xml:space="preserve"> </w:t>
      </w:r>
      <w:r w:rsidR="00796AFD" w:rsidRPr="002369BD">
        <w:rPr>
          <w:rFonts w:ascii="Arial" w:hAnsi="Arial" w:cs="Arial"/>
          <w:sz w:val="24"/>
          <w:szCs w:val="24"/>
        </w:rPr>
        <w:t>but cost and/or availability may be a limiting factor</w:t>
      </w:r>
      <w:r w:rsidR="009536B1">
        <w:rPr>
          <w:rFonts w:ascii="Arial" w:hAnsi="Arial" w:cs="Arial"/>
          <w:sz w:val="24"/>
          <w:szCs w:val="24"/>
        </w:rPr>
        <w:t xml:space="preserve"> for 123I</w:t>
      </w:r>
      <w:r w:rsidR="00796AFD" w:rsidRPr="002369BD">
        <w:rPr>
          <w:rFonts w:ascii="Arial" w:hAnsi="Arial" w:cs="Arial"/>
          <w:sz w:val="24"/>
          <w:szCs w:val="24"/>
        </w:rPr>
        <w:t>.</w:t>
      </w:r>
      <w:r w:rsidR="009575A5" w:rsidRPr="002369BD">
        <w:rPr>
          <w:rFonts w:ascii="Arial" w:hAnsi="Arial" w:cs="Arial"/>
          <w:sz w:val="24"/>
          <w:szCs w:val="24"/>
        </w:rPr>
        <w:t xml:space="preserve">  </w:t>
      </w:r>
    </w:p>
    <w:p w14:paraId="32A72CE7" w14:textId="1835EBBC" w:rsidR="002B6B2D" w:rsidRPr="002369BD" w:rsidRDefault="002B6B2D" w:rsidP="00232BDE">
      <w:pPr>
        <w:pStyle w:val="ListParagraph"/>
        <w:numPr>
          <w:ilvl w:val="0"/>
          <w:numId w:val="15"/>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FDG</w:t>
      </w:r>
      <w:r w:rsidRPr="002369BD">
        <w:rPr>
          <w:rFonts w:ascii="Arial" w:hAnsi="Arial" w:cs="Arial"/>
          <w:sz w:val="24"/>
          <w:szCs w:val="24"/>
        </w:rPr>
        <w:t xml:space="preserve">: Images are </w:t>
      </w:r>
      <w:r w:rsidR="005A0168" w:rsidRPr="002369BD">
        <w:rPr>
          <w:rFonts w:ascii="Arial" w:hAnsi="Arial" w:cs="Arial"/>
          <w:sz w:val="24"/>
          <w:szCs w:val="24"/>
        </w:rPr>
        <w:t xml:space="preserve">acquired </w:t>
      </w:r>
      <w:r w:rsidR="00042928" w:rsidRPr="002369BD">
        <w:rPr>
          <w:rFonts w:ascii="Arial" w:hAnsi="Arial" w:cs="Arial"/>
          <w:sz w:val="24"/>
          <w:szCs w:val="24"/>
        </w:rPr>
        <w:t>approximately</w:t>
      </w:r>
      <w:r w:rsidRPr="002369BD">
        <w:rPr>
          <w:rFonts w:ascii="Arial" w:hAnsi="Arial" w:cs="Arial"/>
          <w:sz w:val="24"/>
          <w:szCs w:val="24"/>
        </w:rPr>
        <w:t xml:space="preserve"> 60</w:t>
      </w:r>
      <w:r w:rsidR="005A0168" w:rsidRPr="002369BD">
        <w:rPr>
          <w:rFonts w:ascii="Arial" w:hAnsi="Arial" w:cs="Arial"/>
          <w:sz w:val="24"/>
          <w:szCs w:val="24"/>
        </w:rPr>
        <w:t xml:space="preserve"> </w:t>
      </w:r>
      <w:r w:rsidRPr="002369BD">
        <w:rPr>
          <w:rFonts w:ascii="Arial" w:hAnsi="Arial" w:cs="Arial"/>
          <w:sz w:val="24"/>
          <w:szCs w:val="24"/>
        </w:rPr>
        <w:t>min</w:t>
      </w:r>
      <w:r w:rsidR="00C47864">
        <w:rPr>
          <w:rFonts w:ascii="Arial" w:hAnsi="Arial" w:cs="Arial"/>
          <w:sz w:val="24"/>
          <w:szCs w:val="24"/>
        </w:rPr>
        <w:t>utes</w:t>
      </w:r>
      <w:r w:rsidRPr="002369BD">
        <w:rPr>
          <w:rFonts w:ascii="Arial" w:hAnsi="Arial" w:cs="Arial"/>
          <w:sz w:val="24"/>
          <w:szCs w:val="24"/>
        </w:rPr>
        <w:t xml:space="preserve"> following injection</w:t>
      </w:r>
      <w:r w:rsidR="00254241" w:rsidRPr="002369BD">
        <w:rPr>
          <w:rFonts w:ascii="Arial" w:hAnsi="Arial" w:cs="Arial"/>
          <w:sz w:val="24"/>
          <w:szCs w:val="24"/>
        </w:rPr>
        <w:t xml:space="preserve"> of the radiopharmaceutical.  When there is suspicion that </w:t>
      </w:r>
      <w:r w:rsidR="00084C67" w:rsidRPr="002369BD">
        <w:rPr>
          <w:rFonts w:ascii="Arial" w:hAnsi="Arial" w:cs="Arial"/>
          <w:sz w:val="24"/>
          <w:szCs w:val="24"/>
        </w:rPr>
        <w:t xml:space="preserve">the </w:t>
      </w:r>
      <w:r w:rsidR="00254241" w:rsidRPr="002369BD">
        <w:rPr>
          <w:rFonts w:ascii="Arial" w:hAnsi="Arial" w:cs="Arial"/>
          <w:sz w:val="24"/>
          <w:szCs w:val="24"/>
        </w:rPr>
        <w:t>131I NaI scan will be negative or have low sensitivity, an FDG scan</w:t>
      </w:r>
      <w:r w:rsidR="003E31B0" w:rsidRPr="002369BD">
        <w:rPr>
          <w:rFonts w:ascii="Arial" w:hAnsi="Arial" w:cs="Arial"/>
          <w:sz w:val="24"/>
          <w:szCs w:val="24"/>
        </w:rPr>
        <w:t xml:space="preserve"> </w:t>
      </w:r>
      <w:r w:rsidR="009536B1">
        <w:rPr>
          <w:rFonts w:ascii="Arial" w:hAnsi="Arial" w:cs="Arial"/>
          <w:sz w:val="24"/>
          <w:szCs w:val="24"/>
        </w:rPr>
        <w:t xml:space="preserve">should be performed </w:t>
      </w:r>
      <w:r w:rsidR="003E31B0" w:rsidRPr="002369BD">
        <w:rPr>
          <w:rFonts w:ascii="Arial" w:hAnsi="Arial" w:cs="Arial"/>
          <w:sz w:val="24"/>
          <w:szCs w:val="24"/>
        </w:rPr>
        <w:t xml:space="preserve">while TSH levels are </w:t>
      </w:r>
      <w:r w:rsidR="00084C67" w:rsidRPr="002369BD">
        <w:rPr>
          <w:rFonts w:ascii="Arial" w:hAnsi="Arial" w:cs="Arial"/>
          <w:sz w:val="24"/>
          <w:szCs w:val="24"/>
        </w:rPr>
        <w:t xml:space="preserve">elevated </w:t>
      </w:r>
      <w:r w:rsidR="003E31B0" w:rsidRPr="002369BD">
        <w:rPr>
          <w:rFonts w:ascii="Arial" w:hAnsi="Arial" w:cs="Arial"/>
          <w:sz w:val="24"/>
          <w:szCs w:val="24"/>
        </w:rPr>
        <w:t>(</w:t>
      </w:r>
      <w:r w:rsidR="001E2195" w:rsidRPr="002369BD">
        <w:rPr>
          <w:rFonts w:ascii="Arial" w:hAnsi="Arial" w:cs="Arial"/>
          <w:sz w:val="24"/>
          <w:szCs w:val="24"/>
        </w:rPr>
        <w:t>THW</w:t>
      </w:r>
      <w:r w:rsidR="003E31B0" w:rsidRPr="002369BD">
        <w:rPr>
          <w:rFonts w:ascii="Arial" w:hAnsi="Arial" w:cs="Arial"/>
          <w:sz w:val="24"/>
          <w:szCs w:val="24"/>
        </w:rPr>
        <w:t xml:space="preserve"> or </w:t>
      </w:r>
      <w:proofErr w:type="spellStart"/>
      <w:r w:rsidR="003E31B0" w:rsidRPr="002369BD">
        <w:rPr>
          <w:rFonts w:ascii="Arial" w:hAnsi="Arial" w:cs="Arial"/>
          <w:sz w:val="24"/>
          <w:szCs w:val="24"/>
        </w:rPr>
        <w:t>rhTSH</w:t>
      </w:r>
      <w:proofErr w:type="spellEnd"/>
      <w:r w:rsidR="003E31B0" w:rsidRPr="002369BD">
        <w:rPr>
          <w:rFonts w:ascii="Arial" w:hAnsi="Arial" w:cs="Arial"/>
          <w:sz w:val="24"/>
          <w:szCs w:val="24"/>
        </w:rPr>
        <w:t xml:space="preserve"> protocol).</w:t>
      </w:r>
      <w:r w:rsidR="00642DF6" w:rsidRPr="002369BD">
        <w:rPr>
          <w:rFonts w:ascii="Arial" w:hAnsi="Arial" w:cs="Arial"/>
          <w:sz w:val="24"/>
          <w:szCs w:val="24"/>
        </w:rPr>
        <w:t xml:space="preserve">  </w:t>
      </w:r>
    </w:p>
    <w:p w14:paraId="142EDEFB" w14:textId="783B8323" w:rsidR="39022FE1" w:rsidRPr="002369BD" w:rsidRDefault="39022FE1" w:rsidP="009028D3">
      <w:pPr>
        <w:tabs>
          <w:tab w:val="left" w:pos="360"/>
          <w:tab w:val="left" w:pos="630"/>
        </w:tabs>
        <w:spacing w:after="0" w:line="360" w:lineRule="auto"/>
        <w:jc w:val="both"/>
        <w:rPr>
          <w:rFonts w:ascii="Arial" w:hAnsi="Arial" w:cs="Arial"/>
          <w:sz w:val="24"/>
          <w:szCs w:val="24"/>
        </w:rPr>
      </w:pPr>
    </w:p>
    <w:p w14:paraId="355BF2FD" w14:textId="72B8B94B" w:rsidR="00564E93" w:rsidRPr="002369BD" w:rsidRDefault="00A36B94" w:rsidP="009028D3">
      <w:pPr>
        <w:tabs>
          <w:tab w:val="left" w:pos="360"/>
          <w:tab w:val="left" w:pos="630"/>
        </w:tabs>
        <w:spacing w:after="0" w:line="360" w:lineRule="auto"/>
        <w:jc w:val="both"/>
        <w:rPr>
          <w:rFonts w:ascii="Arial" w:hAnsi="Arial" w:cs="Arial"/>
          <w:sz w:val="24"/>
          <w:szCs w:val="24"/>
          <w:u w:val="single"/>
        </w:rPr>
      </w:pPr>
      <w:r w:rsidRPr="002369BD">
        <w:rPr>
          <w:rFonts w:ascii="Arial" w:hAnsi="Arial" w:cs="Arial"/>
          <w:sz w:val="24"/>
          <w:szCs w:val="24"/>
        </w:rPr>
        <w:tab/>
      </w:r>
      <w:r w:rsidR="00564E93" w:rsidRPr="002369BD">
        <w:rPr>
          <w:rFonts w:ascii="Arial" w:hAnsi="Arial" w:cs="Arial"/>
          <w:sz w:val="24"/>
          <w:szCs w:val="24"/>
          <w:u w:val="single"/>
        </w:rPr>
        <w:t>Acquisition:</w:t>
      </w:r>
    </w:p>
    <w:p w14:paraId="2385A4D6" w14:textId="6E31288F" w:rsidR="00564E93" w:rsidRPr="002369BD" w:rsidRDefault="0008041C" w:rsidP="00232BDE">
      <w:pPr>
        <w:pStyle w:val="ListParagraph"/>
        <w:numPr>
          <w:ilvl w:val="0"/>
          <w:numId w:val="16"/>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Whole-body scan:</w:t>
      </w:r>
      <w:r w:rsidRPr="002369BD">
        <w:rPr>
          <w:rFonts w:ascii="Arial" w:hAnsi="Arial" w:cs="Arial"/>
          <w:sz w:val="24"/>
          <w:szCs w:val="24"/>
        </w:rPr>
        <w:t xml:space="preserve">  Anterior and posterior planar </w:t>
      </w:r>
      <w:r w:rsidR="00FF6F16" w:rsidRPr="002369BD">
        <w:rPr>
          <w:rFonts w:ascii="Arial" w:hAnsi="Arial" w:cs="Arial"/>
          <w:sz w:val="24"/>
          <w:szCs w:val="24"/>
        </w:rPr>
        <w:t>parallel-hole collimator</w:t>
      </w:r>
      <w:r w:rsidR="00D51608" w:rsidRPr="002369BD">
        <w:rPr>
          <w:rFonts w:ascii="Arial" w:hAnsi="Arial" w:cs="Arial"/>
          <w:sz w:val="24"/>
          <w:szCs w:val="24"/>
        </w:rPr>
        <w:t xml:space="preserve"> gamma camera</w:t>
      </w:r>
      <w:r w:rsidR="00FF6F16" w:rsidRPr="002369BD">
        <w:rPr>
          <w:rFonts w:ascii="Arial" w:hAnsi="Arial" w:cs="Arial"/>
          <w:sz w:val="24"/>
          <w:szCs w:val="24"/>
        </w:rPr>
        <w:t xml:space="preserve"> </w:t>
      </w:r>
      <w:r w:rsidRPr="002369BD">
        <w:rPr>
          <w:rFonts w:ascii="Arial" w:hAnsi="Arial" w:cs="Arial"/>
          <w:sz w:val="24"/>
          <w:szCs w:val="24"/>
        </w:rPr>
        <w:t xml:space="preserve">images from the top of the skull through the femurs </w:t>
      </w:r>
      <w:r w:rsidR="004469CC" w:rsidRPr="002369BD">
        <w:rPr>
          <w:rFonts w:ascii="Arial" w:hAnsi="Arial" w:cs="Arial"/>
          <w:sz w:val="24"/>
          <w:szCs w:val="24"/>
        </w:rPr>
        <w:t xml:space="preserve">are </w:t>
      </w:r>
      <w:r w:rsidRPr="002369BD">
        <w:rPr>
          <w:rFonts w:ascii="Arial" w:hAnsi="Arial" w:cs="Arial"/>
          <w:sz w:val="24"/>
          <w:szCs w:val="24"/>
        </w:rPr>
        <w:t xml:space="preserve">obtained with a scan speed of </w:t>
      </w:r>
      <w:r w:rsidR="00334FE7" w:rsidRPr="002369BD">
        <w:rPr>
          <w:rFonts w:ascii="Arial" w:hAnsi="Arial" w:cs="Arial"/>
          <w:sz w:val="24"/>
          <w:szCs w:val="24"/>
        </w:rPr>
        <w:t xml:space="preserve">8 cm/min to </w:t>
      </w:r>
      <w:r w:rsidRPr="002369BD">
        <w:rPr>
          <w:rFonts w:ascii="Arial" w:hAnsi="Arial" w:cs="Arial"/>
          <w:sz w:val="24"/>
          <w:szCs w:val="24"/>
        </w:rPr>
        <w:t>10 cm/min</w:t>
      </w:r>
      <w:r w:rsidR="00334FE7" w:rsidRPr="002369BD">
        <w:rPr>
          <w:rFonts w:ascii="Arial" w:hAnsi="Arial" w:cs="Arial"/>
          <w:sz w:val="24"/>
          <w:szCs w:val="24"/>
        </w:rPr>
        <w:t xml:space="preserve"> with a 256 x 256 matrix</w:t>
      </w:r>
      <w:r w:rsidRPr="002369BD">
        <w:rPr>
          <w:rFonts w:ascii="Arial" w:hAnsi="Arial" w:cs="Arial"/>
          <w:sz w:val="24"/>
          <w:szCs w:val="24"/>
        </w:rPr>
        <w:t xml:space="preserve">. </w:t>
      </w:r>
      <w:r w:rsidR="00564E93" w:rsidRPr="002369BD">
        <w:rPr>
          <w:rFonts w:ascii="Arial" w:hAnsi="Arial" w:cs="Arial"/>
          <w:sz w:val="24"/>
          <w:szCs w:val="24"/>
        </w:rPr>
        <w:t xml:space="preserve">Longer </w:t>
      </w:r>
      <w:r w:rsidR="004469CC" w:rsidRPr="002369BD">
        <w:rPr>
          <w:rFonts w:ascii="Arial" w:hAnsi="Arial" w:cs="Arial"/>
          <w:sz w:val="24"/>
          <w:szCs w:val="24"/>
        </w:rPr>
        <w:t xml:space="preserve">acquisition </w:t>
      </w:r>
      <w:r w:rsidR="00564E93" w:rsidRPr="002369BD">
        <w:rPr>
          <w:rFonts w:ascii="Arial" w:hAnsi="Arial" w:cs="Arial"/>
          <w:sz w:val="24"/>
          <w:szCs w:val="24"/>
        </w:rPr>
        <w:t>times may be helpful for images obtained more than 3 d</w:t>
      </w:r>
      <w:r w:rsidR="007A6AC7" w:rsidRPr="002369BD">
        <w:rPr>
          <w:rFonts w:ascii="Arial" w:hAnsi="Arial" w:cs="Arial"/>
          <w:sz w:val="24"/>
          <w:szCs w:val="24"/>
        </w:rPr>
        <w:t>ays</w:t>
      </w:r>
      <w:r w:rsidR="00564E93" w:rsidRPr="002369BD">
        <w:rPr>
          <w:rFonts w:ascii="Arial" w:hAnsi="Arial" w:cs="Arial"/>
          <w:sz w:val="24"/>
          <w:szCs w:val="24"/>
        </w:rPr>
        <w:t xml:space="preserve"> after administration of 131I NaI. </w:t>
      </w:r>
      <w:r w:rsidR="00334FE7" w:rsidRPr="002369BD">
        <w:rPr>
          <w:rFonts w:ascii="Arial" w:hAnsi="Arial" w:cs="Arial"/>
          <w:sz w:val="24"/>
          <w:szCs w:val="24"/>
        </w:rPr>
        <w:t>A 256 x 1024 matrix may be used for I123 NaI.</w:t>
      </w:r>
    </w:p>
    <w:p w14:paraId="5DCC41A2" w14:textId="167915AB" w:rsidR="00140404" w:rsidRPr="002369BD" w:rsidRDefault="00140404" w:rsidP="00232BDE">
      <w:pPr>
        <w:pStyle w:val="ListParagraph"/>
        <w:numPr>
          <w:ilvl w:val="0"/>
          <w:numId w:val="16"/>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Spot images:</w:t>
      </w:r>
      <w:r w:rsidRPr="002369BD">
        <w:rPr>
          <w:rFonts w:ascii="Arial" w:hAnsi="Arial" w:cs="Arial"/>
          <w:sz w:val="24"/>
          <w:szCs w:val="24"/>
        </w:rPr>
        <w:t xml:space="preserve"> Static images should be acquired </w:t>
      </w:r>
      <w:r w:rsidR="001E67E3" w:rsidRPr="002369BD">
        <w:rPr>
          <w:rFonts w:ascii="Arial" w:hAnsi="Arial" w:cs="Arial"/>
          <w:sz w:val="24"/>
          <w:szCs w:val="24"/>
        </w:rPr>
        <w:t>for</w:t>
      </w:r>
      <w:r w:rsidRPr="002369BD">
        <w:rPr>
          <w:rFonts w:ascii="Arial" w:hAnsi="Arial" w:cs="Arial"/>
          <w:sz w:val="24"/>
          <w:szCs w:val="24"/>
        </w:rPr>
        <w:t xml:space="preserve"> 20 minutes using a 256 x 256 matrix per view to include the nasopharynx, thyroid bed, </w:t>
      </w:r>
      <w:r w:rsidR="004469CC" w:rsidRPr="002369BD">
        <w:rPr>
          <w:rFonts w:ascii="Arial" w:hAnsi="Arial" w:cs="Arial"/>
          <w:sz w:val="24"/>
          <w:szCs w:val="24"/>
        </w:rPr>
        <w:t xml:space="preserve">and/or </w:t>
      </w:r>
      <w:r w:rsidRPr="002369BD">
        <w:rPr>
          <w:rFonts w:ascii="Arial" w:hAnsi="Arial" w:cs="Arial"/>
          <w:sz w:val="24"/>
          <w:szCs w:val="24"/>
        </w:rPr>
        <w:t xml:space="preserve">chest.  </w:t>
      </w:r>
      <w:r w:rsidR="00FF6F16" w:rsidRPr="002369BD">
        <w:rPr>
          <w:rFonts w:ascii="Arial" w:hAnsi="Arial" w:cs="Arial"/>
          <w:sz w:val="24"/>
          <w:szCs w:val="24"/>
        </w:rPr>
        <w:t>These images may improve lesion detection.</w:t>
      </w:r>
    </w:p>
    <w:p w14:paraId="0CB9BD48" w14:textId="7D44F465" w:rsidR="0068073D" w:rsidRPr="002369BD" w:rsidRDefault="00564E93" w:rsidP="00232BDE">
      <w:pPr>
        <w:pStyle w:val="ListParagraph"/>
        <w:numPr>
          <w:ilvl w:val="0"/>
          <w:numId w:val="16"/>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Pinhole images</w:t>
      </w:r>
      <w:r w:rsidR="007A6AC7" w:rsidRPr="002369BD">
        <w:rPr>
          <w:rFonts w:ascii="Arial" w:hAnsi="Arial" w:cs="Arial"/>
          <w:i/>
          <w:iCs/>
          <w:sz w:val="24"/>
          <w:szCs w:val="24"/>
        </w:rPr>
        <w:t>:</w:t>
      </w:r>
      <w:r w:rsidR="007A6AC7" w:rsidRPr="002369BD">
        <w:rPr>
          <w:rFonts w:ascii="Arial" w:hAnsi="Arial" w:cs="Arial"/>
          <w:sz w:val="24"/>
          <w:szCs w:val="24"/>
        </w:rPr>
        <w:t xml:space="preserve"> </w:t>
      </w:r>
      <w:r w:rsidRPr="002369BD">
        <w:rPr>
          <w:rFonts w:ascii="Arial" w:hAnsi="Arial" w:cs="Arial"/>
          <w:sz w:val="24"/>
          <w:szCs w:val="24"/>
        </w:rPr>
        <w:t xml:space="preserve"> </w:t>
      </w:r>
      <w:r w:rsidR="007A6AC7" w:rsidRPr="002369BD">
        <w:rPr>
          <w:rFonts w:ascii="Arial" w:hAnsi="Arial" w:cs="Arial"/>
          <w:sz w:val="24"/>
          <w:szCs w:val="24"/>
        </w:rPr>
        <w:t xml:space="preserve">Further pinhole images of selected areas may be acquired as deemed necessary for single photon emitters. </w:t>
      </w:r>
      <w:r w:rsidR="00FF6F16" w:rsidRPr="002369BD">
        <w:rPr>
          <w:rFonts w:ascii="Arial" w:hAnsi="Arial" w:cs="Arial"/>
          <w:sz w:val="24"/>
          <w:szCs w:val="24"/>
        </w:rPr>
        <w:t xml:space="preserve"> These images may improve lesion detection.</w:t>
      </w:r>
      <w:r w:rsidR="007A6AC7" w:rsidRPr="002369BD">
        <w:rPr>
          <w:rFonts w:ascii="Arial" w:hAnsi="Arial" w:cs="Arial"/>
          <w:sz w:val="24"/>
          <w:szCs w:val="24"/>
        </w:rPr>
        <w:t xml:space="preserve"> </w:t>
      </w:r>
    </w:p>
    <w:p w14:paraId="0E07F7EF" w14:textId="75D25808" w:rsidR="00564E93" w:rsidRPr="002369BD" w:rsidRDefault="007A6AC7" w:rsidP="00232BDE">
      <w:pPr>
        <w:pStyle w:val="ListParagraph"/>
        <w:numPr>
          <w:ilvl w:val="0"/>
          <w:numId w:val="16"/>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Markers:</w:t>
      </w:r>
      <w:r w:rsidRPr="002369BD">
        <w:rPr>
          <w:rFonts w:ascii="Arial" w:hAnsi="Arial" w:cs="Arial"/>
          <w:sz w:val="24"/>
          <w:szCs w:val="24"/>
        </w:rPr>
        <w:t xml:space="preserve">  In the neck, </w:t>
      </w:r>
      <w:r w:rsidR="007D7F0F" w:rsidRPr="002369BD">
        <w:rPr>
          <w:rFonts w:ascii="Arial" w:hAnsi="Arial" w:cs="Arial"/>
          <w:sz w:val="24"/>
          <w:szCs w:val="24"/>
        </w:rPr>
        <w:t>radioactive</w:t>
      </w:r>
      <w:r w:rsidR="001E67E3" w:rsidRPr="002369BD">
        <w:rPr>
          <w:rFonts w:ascii="Arial" w:hAnsi="Arial" w:cs="Arial"/>
          <w:sz w:val="24"/>
          <w:szCs w:val="24"/>
        </w:rPr>
        <w:t xml:space="preserve"> </w:t>
      </w:r>
      <w:r w:rsidR="00BF2071">
        <w:rPr>
          <w:rFonts w:ascii="Arial" w:hAnsi="Arial" w:cs="Arial"/>
          <w:sz w:val="24"/>
          <w:szCs w:val="24"/>
        </w:rPr>
        <w:t xml:space="preserve">anatomic </w:t>
      </w:r>
      <w:proofErr w:type="gramStart"/>
      <w:r w:rsidR="00564E93" w:rsidRPr="002369BD">
        <w:rPr>
          <w:rFonts w:ascii="Arial" w:hAnsi="Arial" w:cs="Arial"/>
          <w:sz w:val="24"/>
          <w:szCs w:val="24"/>
        </w:rPr>
        <w:t>markers  may</w:t>
      </w:r>
      <w:proofErr w:type="gramEnd"/>
      <w:r w:rsidR="00564E93" w:rsidRPr="002369BD">
        <w:rPr>
          <w:rFonts w:ascii="Arial" w:hAnsi="Arial" w:cs="Arial"/>
          <w:sz w:val="24"/>
          <w:szCs w:val="24"/>
        </w:rPr>
        <w:t xml:space="preserve"> be </w:t>
      </w:r>
      <w:r w:rsidR="00BF2071">
        <w:rPr>
          <w:rFonts w:ascii="Arial" w:hAnsi="Arial" w:cs="Arial"/>
          <w:sz w:val="24"/>
          <w:szCs w:val="24"/>
        </w:rPr>
        <w:t>helpful</w:t>
      </w:r>
      <w:r w:rsidR="00564E93" w:rsidRPr="002369BD">
        <w:rPr>
          <w:rFonts w:ascii="Arial" w:hAnsi="Arial" w:cs="Arial"/>
          <w:sz w:val="24"/>
          <w:szCs w:val="24"/>
        </w:rPr>
        <w:t xml:space="preserve"> in differentiating between normal residual thyroid tissue, salivary gland uptake, residual thyroid cancer, and lymph node metastasis</w:t>
      </w:r>
      <w:r w:rsidRPr="002369BD">
        <w:rPr>
          <w:rFonts w:ascii="Arial" w:hAnsi="Arial" w:cs="Arial"/>
          <w:sz w:val="24"/>
          <w:szCs w:val="24"/>
        </w:rPr>
        <w:t>.</w:t>
      </w:r>
      <w:r w:rsidR="00641398" w:rsidRPr="002369BD">
        <w:rPr>
          <w:rFonts w:ascii="Arial" w:hAnsi="Arial" w:cs="Arial"/>
          <w:sz w:val="24"/>
          <w:szCs w:val="24"/>
        </w:rPr>
        <w:t xml:space="preserve"> </w:t>
      </w:r>
    </w:p>
    <w:p w14:paraId="185F8DDE" w14:textId="0CEF3F40" w:rsidR="00E3107F" w:rsidRPr="002369BD" w:rsidRDefault="007A6AC7" w:rsidP="00232BDE">
      <w:pPr>
        <w:pStyle w:val="ListParagraph"/>
        <w:numPr>
          <w:ilvl w:val="0"/>
          <w:numId w:val="16"/>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SPECT/CT:</w:t>
      </w:r>
      <w:r w:rsidRPr="002369BD">
        <w:rPr>
          <w:rFonts w:ascii="Arial" w:hAnsi="Arial" w:cs="Arial"/>
          <w:sz w:val="24"/>
          <w:szCs w:val="24"/>
        </w:rPr>
        <w:t xml:space="preserve"> </w:t>
      </w:r>
      <w:r w:rsidR="00E3107F" w:rsidRPr="002369BD">
        <w:rPr>
          <w:rFonts w:ascii="Arial" w:hAnsi="Arial" w:cs="Arial"/>
          <w:sz w:val="24"/>
          <w:szCs w:val="24"/>
        </w:rPr>
        <w:t xml:space="preserve"> This </w:t>
      </w:r>
      <w:r w:rsidR="00BF2071">
        <w:rPr>
          <w:rFonts w:ascii="Arial" w:hAnsi="Arial" w:cs="Arial"/>
          <w:sz w:val="24"/>
          <w:szCs w:val="24"/>
        </w:rPr>
        <w:t>is</w:t>
      </w:r>
      <w:r w:rsidR="00E3107F" w:rsidRPr="002369BD">
        <w:rPr>
          <w:rFonts w:ascii="Arial" w:hAnsi="Arial" w:cs="Arial"/>
          <w:sz w:val="24"/>
          <w:szCs w:val="24"/>
        </w:rPr>
        <w:t xml:space="preserve"> helpful </w:t>
      </w:r>
      <w:r w:rsidR="00FF6F16" w:rsidRPr="002369BD">
        <w:rPr>
          <w:rFonts w:ascii="Arial" w:hAnsi="Arial" w:cs="Arial"/>
          <w:sz w:val="24"/>
          <w:szCs w:val="24"/>
        </w:rPr>
        <w:t xml:space="preserve">for </w:t>
      </w:r>
      <w:r w:rsidR="004469CC" w:rsidRPr="002369BD">
        <w:rPr>
          <w:rFonts w:ascii="Arial" w:hAnsi="Arial" w:cs="Arial"/>
          <w:sz w:val="24"/>
          <w:szCs w:val="24"/>
        </w:rPr>
        <w:t>more accurate anatomic lesion</w:t>
      </w:r>
      <w:r w:rsidR="001E67E3" w:rsidRPr="002369BD">
        <w:rPr>
          <w:rFonts w:ascii="Arial" w:hAnsi="Arial" w:cs="Arial"/>
          <w:sz w:val="24"/>
          <w:szCs w:val="24"/>
        </w:rPr>
        <w:t xml:space="preserve"> </w:t>
      </w:r>
      <w:r w:rsidR="00E3107F" w:rsidRPr="002369BD">
        <w:rPr>
          <w:rFonts w:ascii="Arial" w:hAnsi="Arial" w:cs="Arial"/>
          <w:sz w:val="24"/>
          <w:szCs w:val="24"/>
        </w:rPr>
        <w:t>localization</w:t>
      </w:r>
      <w:r w:rsidR="004469CC" w:rsidRPr="002369BD">
        <w:rPr>
          <w:rFonts w:ascii="Arial" w:hAnsi="Arial" w:cs="Arial"/>
          <w:sz w:val="24"/>
          <w:szCs w:val="24"/>
        </w:rPr>
        <w:t xml:space="preserve"> </w:t>
      </w:r>
      <w:r w:rsidR="00173904" w:rsidRPr="002369BD">
        <w:rPr>
          <w:rFonts w:ascii="Arial" w:hAnsi="Arial" w:cs="Arial"/>
          <w:sz w:val="24"/>
          <w:szCs w:val="24"/>
        </w:rPr>
        <w:t xml:space="preserve">and </w:t>
      </w:r>
      <w:r w:rsidR="00E3107F" w:rsidRPr="002369BD">
        <w:rPr>
          <w:rFonts w:ascii="Arial" w:hAnsi="Arial" w:cs="Arial"/>
          <w:sz w:val="24"/>
          <w:szCs w:val="24"/>
        </w:rPr>
        <w:t xml:space="preserve">especially </w:t>
      </w:r>
      <w:r w:rsidR="00B05B6E" w:rsidRPr="002369BD">
        <w:rPr>
          <w:rFonts w:ascii="Arial" w:hAnsi="Arial" w:cs="Arial"/>
          <w:sz w:val="24"/>
          <w:szCs w:val="24"/>
        </w:rPr>
        <w:t>for</w:t>
      </w:r>
      <w:r w:rsidR="00E3107F" w:rsidRPr="002369BD">
        <w:rPr>
          <w:rFonts w:ascii="Arial" w:hAnsi="Arial" w:cs="Arial"/>
          <w:sz w:val="24"/>
          <w:szCs w:val="24"/>
        </w:rPr>
        <w:t xml:space="preserve"> </w:t>
      </w:r>
      <w:r w:rsidR="00FF6F16" w:rsidRPr="002369BD">
        <w:rPr>
          <w:rFonts w:ascii="Arial" w:hAnsi="Arial" w:cs="Arial"/>
          <w:sz w:val="24"/>
          <w:szCs w:val="24"/>
        </w:rPr>
        <w:t xml:space="preserve">identifying </w:t>
      </w:r>
      <w:r w:rsidR="00E3107F" w:rsidRPr="002369BD">
        <w:rPr>
          <w:rFonts w:ascii="Arial" w:hAnsi="Arial" w:cs="Arial"/>
          <w:sz w:val="24"/>
          <w:szCs w:val="24"/>
        </w:rPr>
        <w:t xml:space="preserve">lymph nodes in the neck, </w:t>
      </w:r>
      <w:r w:rsidR="000D6512">
        <w:rPr>
          <w:rFonts w:ascii="Arial" w:hAnsi="Arial" w:cs="Arial"/>
          <w:sz w:val="24"/>
          <w:szCs w:val="24"/>
        </w:rPr>
        <w:t xml:space="preserve">differentiating </w:t>
      </w:r>
      <w:r w:rsidR="00E3107F" w:rsidRPr="002369BD">
        <w:rPr>
          <w:rFonts w:ascii="Arial" w:hAnsi="Arial" w:cs="Arial"/>
          <w:sz w:val="24"/>
          <w:szCs w:val="24"/>
        </w:rPr>
        <w:t xml:space="preserve">mediastinal </w:t>
      </w:r>
      <w:r w:rsidR="00E3107F" w:rsidRPr="002369BD">
        <w:rPr>
          <w:rFonts w:ascii="Arial" w:hAnsi="Arial" w:cs="Arial"/>
          <w:sz w:val="24"/>
          <w:szCs w:val="24"/>
        </w:rPr>
        <w:lastRenderedPageBreak/>
        <w:t xml:space="preserve">versus lung uptake, </w:t>
      </w:r>
      <w:r w:rsidR="00C47864">
        <w:rPr>
          <w:rFonts w:ascii="Arial" w:hAnsi="Arial" w:cs="Arial"/>
          <w:sz w:val="24"/>
          <w:szCs w:val="24"/>
        </w:rPr>
        <w:t>and/</w:t>
      </w:r>
      <w:r w:rsidR="00E3107F" w:rsidRPr="002369BD">
        <w:rPr>
          <w:rFonts w:ascii="Arial" w:hAnsi="Arial" w:cs="Arial"/>
          <w:sz w:val="24"/>
          <w:szCs w:val="24"/>
        </w:rPr>
        <w:t xml:space="preserve">or </w:t>
      </w:r>
      <w:r w:rsidR="000D6512">
        <w:rPr>
          <w:rFonts w:ascii="Arial" w:hAnsi="Arial" w:cs="Arial"/>
          <w:sz w:val="24"/>
          <w:szCs w:val="24"/>
        </w:rPr>
        <w:t xml:space="preserve">evaluating for </w:t>
      </w:r>
      <w:r w:rsidR="00E3107F" w:rsidRPr="002369BD">
        <w:rPr>
          <w:rFonts w:ascii="Arial" w:hAnsi="Arial" w:cs="Arial"/>
          <w:sz w:val="24"/>
          <w:szCs w:val="24"/>
        </w:rPr>
        <w:t xml:space="preserve">bone metastases.  </w:t>
      </w:r>
      <w:r w:rsidR="00C47864" w:rsidRPr="0069565D">
        <w:rPr>
          <w:rFonts w:ascii="Arial" w:eastAsia="Calibri" w:hAnsi="Arial" w:cs="Arial"/>
          <w:sz w:val="24"/>
          <w:szCs w:val="24"/>
        </w:rPr>
        <w:t xml:space="preserve">SPECT/CT is preferred over planar imaging to anatomically localize concerning areas of uptake seen on the whole-body RAI scan.  </w:t>
      </w:r>
      <w:r w:rsidR="00AD3831" w:rsidRPr="002369BD">
        <w:rPr>
          <w:rFonts w:ascii="Arial" w:hAnsi="Arial" w:cs="Arial"/>
          <w:sz w:val="24"/>
          <w:szCs w:val="24"/>
        </w:rPr>
        <w:t xml:space="preserve">One study </w:t>
      </w:r>
      <w:r w:rsidR="00C47864">
        <w:rPr>
          <w:rFonts w:ascii="Arial" w:hAnsi="Arial" w:cs="Arial"/>
          <w:sz w:val="24"/>
          <w:szCs w:val="24"/>
        </w:rPr>
        <w:t>has shown</w:t>
      </w:r>
      <w:r w:rsidR="00AD3831" w:rsidRPr="002369BD">
        <w:rPr>
          <w:rFonts w:ascii="Arial" w:hAnsi="Arial" w:cs="Arial"/>
          <w:sz w:val="24"/>
          <w:szCs w:val="24"/>
        </w:rPr>
        <w:t xml:space="preserve"> that diagnostic RAI scans with SPECT/CT performed after total thyroidectomy detected regional metastases in 35% of patients and distant metastases in 8%.</w:t>
      </w:r>
      <w:r w:rsidR="00BF2071">
        <w:rPr>
          <w:rFonts w:ascii="Arial" w:hAnsi="Arial" w:cs="Arial"/>
          <w:sz w:val="24"/>
          <w:szCs w:val="24"/>
        </w:rPr>
        <w:t xml:space="preserve"> </w:t>
      </w:r>
      <w:r w:rsidR="00AD3831" w:rsidRPr="002369BD">
        <w:rPr>
          <w:rFonts w:ascii="Arial" w:hAnsi="Arial" w:cs="Arial"/>
          <w:sz w:val="24"/>
          <w:szCs w:val="24"/>
        </w:rPr>
        <w:t xml:space="preserve">This resulted in a change in clinical management in approximately 30% of patients as compared to a management strategy based upon surgical pathology alone.  </w:t>
      </w:r>
      <w:r w:rsidR="00B05B6E" w:rsidRPr="002369BD">
        <w:rPr>
          <w:rFonts w:ascii="Arial" w:hAnsi="Arial" w:cs="Arial"/>
          <w:sz w:val="24"/>
          <w:szCs w:val="24"/>
        </w:rPr>
        <w:t>If</w:t>
      </w:r>
      <w:r w:rsidR="00E3107F" w:rsidRPr="002369BD">
        <w:rPr>
          <w:rFonts w:ascii="Arial" w:hAnsi="Arial" w:cs="Arial"/>
          <w:sz w:val="24"/>
          <w:szCs w:val="24"/>
        </w:rPr>
        <w:t xml:space="preserve"> available, SPECT/CT imaging should be performed with an axial field of view extending f</w:t>
      </w:r>
      <w:r w:rsidR="002D2E42">
        <w:rPr>
          <w:rFonts w:ascii="Arial" w:hAnsi="Arial" w:cs="Arial"/>
          <w:sz w:val="24"/>
          <w:szCs w:val="24"/>
        </w:rPr>
        <w:t>ro</w:t>
      </w:r>
      <w:r w:rsidR="00E3107F" w:rsidRPr="002369BD">
        <w:rPr>
          <w:rFonts w:ascii="Arial" w:hAnsi="Arial" w:cs="Arial"/>
          <w:sz w:val="24"/>
          <w:szCs w:val="24"/>
        </w:rPr>
        <w:t xml:space="preserve">m the skull base to the diaphragm.  </w:t>
      </w:r>
      <w:r w:rsidR="00E3107F" w:rsidRPr="002369BD">
        <w:rPr>
          <w:rFonts w:ascii="Arial" w:eastAsia="Calibri" w:hAnsi="Arial" w:cs="Arial"/>
          <w:sz w:val="24"/>
          <w:szCs w:val="24"/>
        </w:rPr>
        <w:t xml:space="preserve">In addition, all foci of abnormal activity seen on planar </w:t>
      </w:r>
      <w:r w:rsidR="00B74B40" w:rsidRPr="002369BD">
        <w:rPr>
          <w:rFonts w:ascii="Arial" w:eastAsia="Calibri" w:hAnsi="Arial" w:cs="Arial"/>
          <w:sz w:val="24"/>
          <w:szCs w:val="24"/>
        </w:rPr>
        <w:t>images</w:t>
      </w:r>
      <w:r w:rsidR="0024088B" w:rsidRPr="002369BD">
        <w:rPr>
          <w:rFonts w:ascii="Arial" w:eastAsia="Calibri" w:hAnsi="Arial" w:cs="Arial"/>
          <w:sz w:val="24"/>
          <w:szCs w:val="24"/>
        </w:rPr>
        <w:t xml:space="preserve"> </w:t>
      </w:r>
      <w:r w:rsidR="00E3107F" w:rsidRPr="002369BD">
        <w:rPr>
          <w:rFonts w:ascii="Arial" w:eastAsia="Calibri" w:hAnsi="Arial" w:cs="Arial"/>
          <w:sz w:val="24"/>
          <w:szCs w:val="24"/>
        </w:rPr>
        <w:t xml:space="preserve">outside the neck and chest which do not conform </w:t>
      </w:r>
      <w:r w:rsidR="004469CC" w:rsidRPr="002369BD">
        <w:rPr>
          <w:rFonts w:ascii="Arial" w:eastAsia="Calibri" w:hAnsi="Arial" w:cs="Arial"/>
          <w:sz w:val="24"/>
          <w:szCs w:val="24"/>
        </w:rPr>
        <w:t xml:space="preserve">to </w:t>
      </w:r>
      <w:r w:rsidR="00E3107F" w:rsidRPr="002369BD">
        <w:rPr>
          <w:rFonts w:ascii="Arial" w:eastAsia="Calibri" w:hAnsi="Arial" w:cs="Arial"/>
          <w:sz w:val="24"/>
          <w:szCs w:val="24"/>
        </w:rPr>
        <w:t xml:space="preserve">a physiological distribution should be further evaluated with SPECT/CT. </w:t>
      </w:r>
      <w:r w:rsidR="00C47864">
        <w:rPr>
          <w:rFonts w:ascii="Arial" w:eastAsia="Calibri" w:hAnsi="Arial" w:cs="Arial"/>
          <w:sz w:val="24"/>
          <w:szCs w:val="24"/>
        </w:rPr>
        <w:t>T</w:t>
      </w:r>
      <w:r w:rsidR="00B74B40" w:rsidRPr="002369BD">
        <w:rPr>
          <w:rFonts w:ascii="Arial" w:eastAsia="Calibri" w:hAnsi="Arial" w:cs="Arial"/>
          <w:sz w:val="24"/>
          <w:szCs w:val="24"/>
        </w:rPr>
        <w:t>he</w:t>
      </w:r>
      <w:r w:rsidR="00E3107F" w:rsidRPr="002369BD">
        <w:rPr>
          <w:rFonts w:ascii="Arial" w:eastAsia="Calibri" w:hAnsi="Arial" w:cs="Arial"/>
          <w:sz w:val="24"/>
          <w:szCs w:val="24"/>
        </w:rPr>
        <w:t xml:space="preserve"> patient is imaged with arms down and without immobilizers. </w:t>
      </w:r>
      <w:r w:rsidR="005200C0" w:rsidRPr="002369BD">
        <w:rPr>
          <w:rFonts w:ascii="Arial" w:eastAsia="Calibri" w:hAnsi="Arial" w:cs="Arial"/>
          <w:sz w:val="24"/>
          <w:szCs w:val="24"/>
        </w:rPr>
        <w:t xml:space="preserve"> I</w:t>
      </w:r>
      <w:r w:rsidR="00E3107F" w:rsidRPr="002369BD">
        <w:rPr>
          <w:rFonts w:ascii="Arial" w:eastAsia="Calibri" w:hAnsi="Arial" w:cs="Arial"/>
          <w:sz w:val="24"/>
          <w:szCs w:val="24"/>
        </w:rPr>
        <w:t xml:space="preserve">maging is performed on a hybrid dual-head gamma camera with an inline CT scanner. </w:t>
      </w:r>
    </w:p>
    <w:p w14:paraId="526C3956" w14:textId="65D57E66" w:rsidR="006035CE" w:rsidRDefault="004C27EE" w:rsidP="006035CE">
      <w:pPr>
        <w:tabs>
          <w:tab w:val="left" w:pos="360"/>
          <w:tab w:val="left" w:pos="630"/>
        </w:tabs>
        <w:spacing w:after="0" w:line="360" w:lineRule="auto"/>
        <w:jc w:val="both"/>
        <w:rPr>
          <w:rFonts w:ascii="Arial" w:hAnsi="Arial" w:cs="Arial"/>
          <w:i/>
          <w:iCs/>
          <w:sz w:val="24"/>
          <w:szCs w:val="24"/>
        </w:rPr>
      </w:pPr>
      <w:r w:rsidRPr="002A042F">
        <w:rPr>
          <w:rFonts w:ascii="Arial" w:hAnsi="Arial" w:cs="Arial"/>
          <w:noProof/>
          <w:sz w:val="20"/>
          <w:szCs w:val="20"/>
        </w:rPr>
        <mc:AlternateContent>
          <mc:Choice Requires="wps">
            <w:drawing>
              <wp:anchor distT="45720" distB="45720" distL="114300" distR="114300" simplePos="0" relativeHeight="251663363" behindDoc="1" locked="0" layoutInCell="1" allowOverlap="1" wp14:anchorId="7D95EC60" wp14:editId="622AB355">
                <wp:simplePos x="0" y="0"/>
                <wp:positionH relativeFrom="column">
                  <wp:posOffset>3039110</wp:posOffset>
                </wp:positionH>
                <wp:positionV relativeFrom="margin">
                  <wp:posOffset>3421380</wp:posOffset>
                </wp:positionV>
                <wp:extent cx="3082290" cy="13868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386840"/>
                        </a:xfrm>
                        <a:prstGeom prst="rect">
                          <a:avLst/>
                        </a:prstGeom>
                        <a:solidFill>
                          <a:srgbClr val="FFFFFF"/>
                        </a:solidFill>
                        <a:ln w="9525">
                          <a:solidFill>
                            <a:srgbClr val="000000"/>
                          </a:solidFill>
                          <a:miter lim="800000"/>
                          <a:headEnd/>
                          <a:tailEnd/>
                        </a:ln>
                      </wps:spPr>
                      <wps:txbx>
                        <w:txbxContent>
                          <w:p w14:paraId="302D27CF" w14:textId="77777777" w:rsidR="00992EC6" w:rsidRPr="00A36B94" w:rsidRDefault="00992EC6" w:rsidP="006035CE">
                            <w:pPr>
                              <w:spacing w:after="0" w:line="240" w:lineRule="auto"/>
                              <w:ind w:left="360" w:firstLine="360"/>
                              <w:rPr>
                                <w:rFonts w:eastAsia="Calibri" w:cs="Arial"/>
                                <w:sz w:val="20"/>
                                <w:szCs w:val="20"/>
                              </w:rPr>
                            </w:pPr>
                            <w:r w:rsidRPr="00A36B94">
                              <w:rPr>
                                <w:rFonts w:eastAsia="Calibri" w:cs="Arial"/>
                                <w:sz w:val="20"/>
                                <w:szCs w:val="20"/>
                              </w:rPr>
                              <w:t>Recommended SPECT image parameters:</w:t>
                            </w:r>
                          </w:p>
                          <w:p w14:paraId="4F5D0026" w14:textId="77777777" w:rsidR="00992EC6" w:rsidRPr="00A36B94" w:rsidRDefault="00992EC6" w:rsidP="006035CE">
                            <w:pPr>
                              <w:numPr>
                                <w:ilvl w:val="0"/>
                                <w:numId w:val="4"/>
                              </w:numPr>
                              <w:spacing w:after="0" w:line="240" w:lineRule="auto"/>
                              <w:contextualSpacing/>
                              <w:rPr>
                                <w:rFonts w:eastAsia="Calibri" w:cs="Arial"/>
                                <w:sz w:val="20"/>
                                <w:szCs w:val="20"/>
                              </w:rPr>
                            </w:pPr>
                            <w:r w:rsidRPr="00A36B94">
                              <w:rPr>
                                <w:rFonts w:eastAsia="Calibri" w:cs="Arial"/>
                                <w:sz w:val="20"/>
                                <w:szCs w:val="20"/>
                              </w:rPr>
                              <w:t>64 projections</w:t>
                            </w:r>
                          </w:p>
                          <w:p w14:paraId="3DDB8460" w14:textId="77777777" w:rsidR="00992EC6" w:rsidRPr="00A36B94" w:rsidRDefault="00992EC6" w:rsidP="006035CE">
                            <w:pPr>
                              <w:numPr>
                                <w:ilvl w:val="0"/>
                                <w:numId w:val="4"/>
                              </w:numPr>
                              <w:spacing w:after="0" w:line="240" w:lineRule="auto"/>
                              <w:contextualSpacing/>
                              <w:rPr>
                                <w:rFonts w:eastAsia="Calibri" w:cs="Arial"/>
                                <w:sz w:val="20"/>
                                <w:szCs w:val="20"/>
                              </w:rPr>
                            </w:pPr>
                            <w:r w:rsidRPr="00A36B94">
                              <w:rPr>
                                <w:rFonts w:eastAsia="Calibri" w:cs="Arial"/>
                                <w:sz w:val="20"/>
                                <w:szCs w:val="20"/>
                              </w:rPr>
                              <w:t>128 x 128 matrix</w:t>
                            </w:r>
                          </w:p>
                          <w:p w14:paraId="29723729" w14:textId="77777777" w:rsidR="00992EC6" w:rsidRPr="00A36B94" w:rsidRDefault="00992EC6" w:rsidP="006035CE">
                            <w:pPr>
                              <w:numPr>
                                <w:ilvl w:val="0"/>
                                <w:numId w:val="4"/>
                              </w:numPr>
                              <w:spacing w:after="0" w:line="240" w:lineRule="auto"/>
                              <w:contextualSpacing/>
                              <w:rPr>
                                <w:rFonts w:eastAsia="Calibri" w:cs="Arial"/>
                                <w:sz w:val="20"/>
                                <w:szCs w:val="20"/>
                              </w:rPr>
                            </w:pPr>
                            <w:r w:rsidRPr="00A36B94">
                              <w:rPr>
                                <w:rFonts w:eastAsia="Calibri" w:cs="Arial"/>
                                <w:sz w:val="20"/>
                                <w:szCs w:val="20"/>
                              </w:rPr>
                              <w:t>20 seconds/projection</w:t>
                            </w:r>
                          </w:p>
                          <w:p w14:paraId="1DBAE308" w14:textId="77777777" w:rsidR="00992EC6" w:rsidRPr="00A36B94" w:rsidRDefault="00992EC6" w:rsidP="006035CE">
                            <w:pPr>
                              <w:numPr>
                                <w:ilvl w:val="0"/>
                                <w:numId w:val="4"/>
                              </w:numPr>
                              <w:spacing w:after="0" w:line="240" w:lineRule="auto"/>
                              <w:contextualSpacing/>
                              <w:rPr>
                                <w:rFonts w:eastAsia="Calibri" w:cs="Arial"/>
                                <w:sz w:val="20"/>
                                <w:szCs w:val="20"/>
                              </w:rPr>
                            </w:pPr>
                            <w:r w:rsidRPr="00A36B94">
                              <w:rPr>
                                <w:rFonts w:eastAsia="Calibri" w:cs="Arial"/>
                                <w:sz w:val="20"/>
                                <w:szCs w:val="20"/>
                              </w:rPr>
                              <w:t>non-circular orbit over 360 degrees</w:t>
                            </w:r>
                          </w:p>
                          <w:p w14:paraId="25A47A28" w14:textId="77777777" w:rsidR="00992EC6" w:rsidRPr="00A36B94" w:rsidRDefault="00992EC6" w:rsidP="006035CE">
                            <w:pPr>
                              <w:spacing w:after="0" w:line="240" w:lineRule="auto"/>
                              <w:rPr>
                                <w:sz w:val="20"/>
                                <w:szCs w:val="20"/>
                              </w:rPr>
                            </w:pPr>
                            <w:r w:rsidRPr="00A36B94">
                              <w:rPr>
                                <w:rFonts w:eastAsia="Calibri" w:cs="Arial"/>
                                <w:sz w:val="20"/>
                                <w:szCs w:val="20"/>
                              </w:rPr>
                              <w:t>Tomographic images are reconstructed using 3D OSEM iterative reconstruction (8 iterations, 4 subsets), and a CT-based attenuation correction algorithm was applied.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5EC60" id="_x0000_t202" coordsize="21600,21600" o:spt="202" path="m,l,21600r21600,l21600,xe">
                <v:stroke joinstyle="miter"/>
                <v:path gradientshapeok="t" o:connecttype="rect"/>
              </v:shapetype>
              <v:shape id="Text Box 2" o:spid="_x0000_s1026" type="#_x0000_t202" style="position:absolute;left:0;text-align:left;margin-left:239.3pt;margin-top:269.4pt;width:242.7pt;height:109.2pt;z-index:-251653117;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">
                <v:textbox>
                  <w:txbxContent>
                    <w:p w14:paraId="302D27CF" w14:textId="77777777" w:rsidR="00992EC6" w:rsidRPr="00A36B94" w:rsidRDefault="00992EC6" w:rsidP="006035CE">
                      <w:pPr>
                        <w:spacing w:after="0" w:line="240" w:lineRule="auto"/>
                        <w:ind w:left="360" w:firstLine="360"/>
                        <w:rPr>
                          <w:rFonts w:eastAsia="Calibri" w:cs="Arial"/>
                          <w:sz w:val="20"/>
                          <w:szCs w:val="20"/>
                        </w:rPr>
                      </w:pPr>
                      <w:r w:rsidRPr="00A36B94">
                        <w:rPr>
                          <w:rFonts w:eastAsia="Calibri" w:cs="Arial"/>
                          <w:sz w:val="20"/>
                          <w:szCs w:val="20"/>
                        </w:rPr>
                        <w:t>Recommended SPECT image parameters:</w:t>
                      </w:r>
                    </w:p>
                    <w:p w14:paraId="4F5D0026" w14:textId="77777777" w:rsidR="00992EC6" w:rsidRPr="00A36B94" w:rsidRDefault="00992EC6" w:rsidP="006035CE">
                      <w:pPr>
                        <w:numPr>
                          <w:ilvl w:val="0"/>
                          <w:numId w:val="4"/>
                        </w:numPr>
                        <w:spacing w:after="0" w:line="240" w:lineRule="auto"/>
                        <w:contextualSpacing/>
                        <w:rPr>
                          <w:rFonts w:eastAsia="Calibri" w:cs="Arial"/>
                          <w:sz w:val="20"/>
                          <w:szCs w:val="20"/>
                        </w:rPr>
                      </w:pPr>
                      <w:r w:rsidRPr="00A36B94">
                        <w:rPr>
                          <w:rFonts w:eastAsia="Calibri" w:cs="Arial"/>
                          <w:sz w:val="20"/>
                          <w:szCs w:val="20"/>
                        </w:rPr>
                        <w:t>64 projections</w:t>
                      </w:r>
                    </w:p>
                    <w:p w14:paraId="3DDB8460" w14:textId="77777777" w:rsidR="00992EC6" w:rsidRPr="00A36B94" w:rsidRDefault="00992EC6" w:rsidP="006035CE">
                      <w:pPr>
                        <w:numPr>
                          <w:ilvl w:val="0"/>
                          <w:numId w:val="4"/>
                        </w:numPr>
                        <w:spacing w:after="0" w:line="240" w:lineRule="auto"/>
                        <w:contextualSpacing/>
                        <w:rPr>
                          <w:rFonts w:eastAsia="Calibri" w:cs="Arial"/>
                          <w:sz w:val="20"/>
                          <w:szCs w:val="20"/>
                        </w:rPr>
                      </w:pPr>
                      <w:r w:rsidRPr="00A36B94">
                        <w:rPr>
                          <w:rFonts w:eastAsia="Calibri" w:cs="Arial"/>
                          <w:sz w:val="20"/>
                          <w:szCs w:val="20"/>
                        </w:rPr>
                        <w:t>128 x 128 matrix</w:t>
                      </w:r>
                    </w:p>
                    <w:p w14:paraId="29723729" w14:textId="77777777" w:rsidR="00992EC6" w:rsidRPr="00A36B94" w:rsidRDefault="00992EC6" w:rsidP="006035CE">
                      <w:pPr>
                        <w:numPr>
                          <w:ilvl w:val="0"/>
                          <w:numId w:val="4"/>
                        </w:numPr>
                        <w:spacing w:after="0" w:line="240" w:lineRule="auto"/>
                        <w:contextualSpacing/>
                        <w:rPr>
                          <w:rFonts w:eastAsia="Calibri" w:cs="Arial"/>
                          <w:sz w:val="20"/>
                          <w:szCs w:val="20"/>
                        </w:rPr>
                      </w:pPr>
                      <w:r w:rsidRPr="00A36B94">
                        <w:rPr>
                          <w:rFonts w:eastAsia="Calibri" w:cs="Arial"/>
                          <w:sz w:val="20"/>
                          <w:szCs w:val="20"/>
                        </w:rPr>
                        <w:t>20 seconds/projection</w:t>
                      </w:r>
                    </w:p>
                    <w:p w14:paraId="1DBAE308" w14:textId="77777777" w:rsidR="00992EC6" w:rsidRPr="00A36B94" w:rsidRDefault="00992EC6" w:rsidP="006035CE">
                      <w:pPr>
                        <w:numPr>
                          <w:ilvl w:val="0"/>
                          <w:numId w:val="4"/>
                        </w:numPr>
                        <w:spacing w:after="0" w:line="240" w:lineRule="auto"/>
                        <w:contextualSpacing/>
                        <w:rPr>
                          <w:rFonts w:eastAsia="Calibri" w:cs="Arial"/>
                          <w:sz w:val="20"/>
                          <w:szCs w:val="20"/>
                        </w:rPr>
                      </w:pPr>
                      <w:r w:rsidRPr="00A36B94">
                        <w:rPr>
                          <w:rFonts w:eastAsia="Calibri" w:cs="Arial"/>
                          <w:sz w:val="20"/>
                          <w:szCs w:val="20"/>
                        </w:rPr>
                        <w:t>non-circular orbit over 360 degrees</w:t>
                      </w:r>
                    </w:p>
                    <w:p w14:paraId="25A47A28" w14:textId="77777777" w:rsidR="00992EC6" w:rsidRPr="00A36B94" w:rsidRDefault="00992EC6" w:rsidP="006035CE">
                      <w:pPr>
                        <w:spacing w:after="0" w:line="240" w:lineRule="auto"/>
                        <w:rPr>
                          <w:sz w:val="20"/>
                          <w:szCs w:val="20"/>
                        </w:rPr>
                      </w:pPr>
                      <w:r w:rsidRPr="00A36B94">
                        <w:rPr>
                          <w:rFonts w:eastAsia="Calibri" w:cs="Arial"/>
                          <w:sz w:val="20"/>
                          <w:szCs w:val="20"/>
                        </w:rPr>
                        <w:t>Tomographic images are reconstructed using 3D OSEM iterative reconstruction (8 iterations, 4 subsets), and a CT-based attenuation correction algorithm was applied.</w:t>
                      </w:r>
                    </w:p>
                  </w:txbxContent>
                </v:textbox>
                <w10:wrap anchory="margin"/>
              </v:shape>
            </w:pict>
          </mc:Fallback>
        </mc:AlternateContent>
      </w:r>
      <w:r w:rsidRPr="002A042F">
        <w:rPr>
          <w:rFonts w:ascii="Arial" w:hAnsi="Arial" w:cs="Arial"/>
          <w:noProof/>
          <w:sz w:val="20"/>
          <w:szCs w:val="20"/>
        </w:rPr>
        <mc:AlternateContent>
          <mc:Choice Requires="wps">
            <w:drawing>
              <wp:anchor distT="45720" distB="45720" distL="114300" distR="114300" simplePos="0" relativeHeight="251665411" behindDoc="1" locked="0" layoutInCell="1" allowOverlap="1" wp14:anchorId="6DB56559" wp14:editId="1DB34D75">
                <wp:simplePos x="0" y="0"/>
                <wp:positionH relativeFrom="page">
                  <wp:posOffset>701040</wp:posOffset>
                </wp:positionH>
                <wp:positionV relativeFrom="margin">
                  <wp:posOffset>3604260</wp:posOffset>
                </wp:positionV>
                <wp:extent cx="3086100" cy="1101090"/>
                <wp:effectExtent l="0" t="0" r="1905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01090"/>
                        </a:xfrm>
                        <a:prstGeom prst="rect">
                          <a:avLst/>
                        </a:prstGeom>
                        <a:solidFill>
                          <a:srgbClr val="FFFFFF"/>
                        </a:solidFill>
                        <a:ln w="9525">
                          <a:solidFill>
                            <a:srgbClr val="000000"/>
                          </a:solidFill>
                          <a:miter lim="800000"/>
                          <a:headEnd/>
                          <a:tailEnd/>
                        </a:ln>
                      </wps:spPr>
                      <wps:txbx>
                        <w:txbxContent>
                          <w:p w14:paraId="421EAFB6" w14:textId="77777777" w:rsidR="00992EC6" w:rsidRPr="00A36B94" w:rsidRDefault="00992EC6" w:rsidP="006035CE">
                            <w:pPr>
                              <w:spacing w:after="0"/>
                              <w:ind w:firstLine="720"/>
                              <w:rPr>
                                <w:rFonts w:eastAsia="Calibri" w:cs="Arial"/>
                                <w:sz w:val="20"/>
                                <w:szCs w:val="20"/>
                              </w:rPr>
                            </w:pPr>
                            <w:r w:rsidRPr="00A36B94">
                              <w:rPr>
                                <w:rFonts w:eastAsia="Calibri" w:cs="Arial"/>
                                <w:sz w:val="20"/>
                                <w:szCs w:val="20"/>
                              </w:rPr>
                              <w:t>Recommended CT image parameters:</w:t>
                            </w:r>
                          </w:p>
                          <w:p w14:paraId="2E47B80E" w14:textId="77777777" w:rsidR="00992EC6" w:rsidRPr="00A36B94" w:rsidRDefault="00992EC6" w:rsidP="006035CE">
                            <w:pPr>
                              <w:numPr>
                                <w:ilvl w:val="0"/>
                                <w:numId w:val="5"/>
                              </w:numPr>
                              <w:tabs>
                                <w:tab w:val="left" w:pos="1080"/>
                              </w:tabs>
                              <w:spacing w:after="0"/>
                              <w:ind w:firstLine="72"/>
                              <w:contextualSpacing/>
                              <w:rPr>
                                <w:rFonts w:eastAsia="Calibri" w:cs="Arial"/>
                                <w:sz w:val="20"/>
                                <w:szCs w:val="20"/>
                              </w:rPr>
                            </w:pPr>
                            <w:r w:rsidRPr="00A36B94">
                              <w:rPr>
                                <w:rFonts w:eastAsia="Calibri" w:cs="Arial"/>
                                <w:sz w:val="20"/>
                                <w:szCs w:val="20"/>
                              </w:rPr>
                              <w:t>130 kVp</w:t>
                            </w:r>
                          </w:p>
                          <w:p w14:paraId="106CA9E3" w14:textId="77777777" w:rsidR="00992EC6" w:rsidRPr="00A36B94" w:rsidRDefault="00992EC6" w:rsidP="006035CE">
                            <w:pPr>
                              <w:numPr>
                                <w:ilvl w:val="0"/>
                                <w:numId w:val="5"/>
                              </w:numPr>
                              <w:tabs>
                                <w:tab w:val="left" w:pos="1080"/>
                              </w:tabs>
                              <w:spacing w:after="0"/>
                              <w:ind w:firstLine="72"/>
                              <w:contextualSpacing/>
                              <w:rPr>
                                <w:rFonts w:eastAsia="Calibri" w:cs="Arial"/>
                                <w:sz w:val="20"/>
                                <w:szCs w:val="20"/>
                              </w:rPr>
                            </w:pPr>
                            <w:r w:rsidRPr="00A36B94">
                              <w:rPr>
                                <w:rFonts w:eastAsia="Calibri" w:cs="Arial"/>
                                <w:sz w:val="20"/>
                                <w:szCs w:val="20"/>
                              </w:rPr>
                              <w:t>80 mAs,</w:t>
                            </w:r>
                          </w:p>
                          <w:p w14:paraId="33BE10CE" w14:textId="77777777" w:rsidR="00992EC6" w:rsidRPr="00A36B94" w:rsidRDefault="00992EC6" w:rsidP="006035CE">
                            <w:pPr>
                              <w:numPr>
                                <w:ilvl w:val="0"/>
                                <w:numId w:val="5"/>
                              </w:numPr>
                              <w:tabs>
                                <w:tab w:val="left" w:pos="1080"/>
                              </w:tabs>
                              <w:spacing w:after="0"/>
                              <w:ind w:firstLine="72"/>
                              <w:contextualSpacing/>
                              <w:rPr>
                                <w:rFonts w:eastAsia="Calibri" w:cs="Arial"/>
                                <w:sz w:val="20"/>
                                <w:szCs w:val="20"/>
                              </w:rPr>
                            </w:pPr>
                            <w:r w:rsidRPr="00A36B94">
                              <w:rPr>
                                <w:rFonts w:eastAsia="Calibri" w:cs="Arial"/>
                                <w:sz w:val="20"/>
                                <w:szCs w:val="20"/>
                              </w:rPr>
                              <w:t>3 mm collimation</w:t>
                            </w:r>
                          </w:p>
                          <w:p w14:paraId="1D97702D" w14:textId="77777777" w:rsidR="00992EC6" w:rsidRPr="009028D3" w:rsidRDefault="00992EC6" w:rsidP="006035CE">
                            <w:pPr>
                              <w:numPr>
                                <w:ilvl w:val="0"/>
                                <w:numId w:val="5"/>
                              </w:numPr>
                              <w:tabs>
                                <w:tab w:val="left" w:pos="1080"/>
                              </w:tabs>
                              <w:spacing w:after="0"/>
                              <w:ind w:left="792" w:firstLine="72"/>
                              <w:contextualSpacing/>
                              <w:rPr>
                                <w:rFonts w:eastAsia="Calibri" w:cs="Arial"/>
                                <w:sz w:val="20"/>
                                <w:szCs w:val="20"/>
                              </w:rPr>
                            </w:pPr>
                            <w:r w:rsidRPr="00572E61">
                              <w:rPr>
                                <w:rFonts w:eastAsia="Calibri" w:cs="Arial"/>
                                <w:sz w:val="20"/>
                                <w:szCs w:val="20"/>
                              </w:rPr>
                              <w:t>0.8 pitch</w:t>
                            </w:r>
                          </w:p>
                          <w:p w14:paraId="55B730CF" w14:textId="77777777" w:rsidR="00992EC6" w:rsidRPr="00A36B94" w:rsidRDefault="00992EC6" w:rsidP="006035CE">
                            <w:pPr>
                              <w:tabs>
                                <w:tab w:val="left" w:pos="1080"/>
                              </w:tabs>
                              <w:spacing w:after="0"/>
                              <w:ind w:left="720" w:firstLine="72"/>
                              <w:rPr>
                                <w:sz w:val="20"/>
                                <w:szCs w:val="20"/>
                              </w:rPr>
                            </w:pPr>
                            <w:r w:rsidRPr="00A36B94">
                              <w:rPr>
                                <w:rFonts w:eastAsia="Calibri" w:cs="Arial"/>
                                <w:sz w:val="20"/>
                                <w:szCs w:val="20"/>
                              </w:rPr>
                              <w:t>CT reconstruction is performed at 5 mm slice thickness into a 512 x 512 matrix.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6559" id="Text Box 6" o:spid="_x0000_s1027" type="#_x0000_t202" style="position:absolute;left:0;text-align:left;margin-left:55.2pt;margin-top:283.8pt;width:243pt;height:86.7pt;z-index:-251651069;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">
                <v:textbox>
                  <w:txbxContent>
                    <w:p w14:paraId="421EAFB6" w14:textId="77777777" w:rsidR="00992EC6" w:rsidRPr="00A36B94" w:rsidRDefault="00992EC6" w:rsidP="006035CE">
                      <w:pPr>
                        <w:spacing w:after="0"/>
                        <w:ind w:firstLine="720"/>
                        <w:rPr>
                          <w:rFonts w:eastAsia="Calibri" w:cs="Arial"/>
                          <w:sz w:val="20"/>
                          <w:szCs w:val="20"/>
                        </w:rPr>
                      </w:pPr>
                      <w:r w:rsidRPr="00A36B94">
                        <w:rPr>
                          <w:rFonts w:eastAsia="Calibri" w:cs="Arial"/>
                          <w:sz w:val="20"/>
                          <w:szCs w:val="20"/>
                        </w:rPr>
                        <w:t>Recommended CT image parameters:</w:t>
                      </w:r>
                    </w:p>
                    <w:p w14:paraId="2E47B80E" w14:textId="77777777" w:rsidR="00992EC6" w:rsidRPr="00A36B94" w:rsidRDefault="00992EC6" w:rsidP="006035CE">
                      <w:pPr>
                        <w:numPr>
                          <w:ilvl w:val="0"/>
                          <w:numId w:val="5"/>
                        </w:numPr>
                        <w:tabs>
                          <w:tab w:val="left" w:pos="1080"/>
                        </w:tabs>
                        <w:spacing w:after="0"/>
                        <w:ind w:firstLine="72"/>
                        <w:contextualSpacing/>
                        <w:rPr>
                          <w:rFonts w:eastAsia="Calibri" w:cs="Arial"/>
                          <w:sz w:val="20"/>
                          <w:szCs w:val="20"/>
                        </w:rPr>
                      </w:pPr>
                      <w:r w:rsidRPr="00A36B94">
                        <w:rPr>
                          <w:rFonts w:eastAsia="Calibri" w:cs="Arial"/>
                          <w:sz w:val="20"/>
                          <w:szCs w:val="20"/>
                        </w:rPr>
                        <w:t>130 kVp</w:t>
                      </w:r>
                    </w:p>
                    <w:p w14:paraId="106CA9E3" w14:textId="77777777" w:rsidR="00992EC6" w:rsidRPr="00A36B94" w:rsidRDefault="00992EC6" w:rsidP="006035CE">
                      <w:pPr>
                        <w:numPr>
                          <w:ilvl w:val="0"/>
                          <w:numId w:val="5"/>
                        </w:numPr>
                        <w:tabs>
                          <w:tab w:val="left" w:pos="1080"/>
                        </w:tabs>
                        <w:spacing w:after="0"/>
                        <w:ind w:firstLine="72"/>
                        <w:contextualSpacing/>
                        <w:rPr>
                          <w:rFonts w:eastAsia="Calibri" w:cs="Arial"/>
                          <w:sz w:val="20"/>
                          <w:szCs w:val="20"/>
                        </w:rPr>
                      </w:pPr>
                      <w:r w:rsidRPr="00A36B94">
                        <w:rPr>
                          <w:rFonts w:eastAsia="Calibri" w:cs="Arial"/>
                          <w:sz w:val="20"/>
                          <w:szCs w:val="20"/>
                        </w:rPr>
                        <w:t>80 mAs,</w:t>
                      </w:r>
                    </w:p>
                    <w:p w14:paraId="33BE10CE" w14:textId="77777777" w:rsidR="00992EC6" w:rsidRPr="00A36B94" w:rsidRDefault="00992EC6" w:rsidP="006035CE">
                      <w:pPr>
                        <w:numPr>
                          <w:ilvl w:val="0"/>
                          <w:numId w:val="5"/>
                        </w:numPr>
                        <w:tabs>
                          <w:tab w:val="left" w:pos="1080"/>
                        </w:tabs>
                        <w:spacing w:after="0"/>
                        <w:ind w:firstLine="72"/>
                        <w:contextualSpacing/>
                        <w:rPr>
                          <w:rFonts w:eastAsia="Calibri" w:cs="Arial"/>
                          <w:sz w:val="20"/>
                          <w:szCs w:val="20"/>
                        </w:rPr>
                      </w:pPr>
                      <w:r w:rsidRPr="00A36B94">
                        <w:rPr>
                          <w:rFonts w:eastAsia="Calibri" w:cs="Arial"/>
                          <w:sz w:val="20"/>
                          <w:szCs w:val="20"/>
                        </w:rPr>
                        <w:t>3 mm collimation</w:t>
                      </w:r>
                    </w:p>
                    <w:p w14:paraId="1D97702D" w14:textId="77777777" w:rsidR="00992EC6" w:rsidRPr="009028D3" w:rsidRDefault="00992EC6" w:rsidP="006035CE">
                      <w:pPr>
                        <w:numPr>
                          <w:ilvl w:val="0"/>
                          <w:numId w:val="5"/>
                        </w:numPr>
                        <w:tabs>
                          <w:tab w:val="left" w:pos="1080"/>
                        </w:tabs>
                        <w:spacing w:after="0"/>
                        <w:ind w:left="792" w:firstLine="72"/>
                        <w:contextualSpacing/>
                        <w:rPr>
                          <w:rFonts w:eastAsia="Calibri" w:cs="Arial"/>
                          <w:sz w:val="20"/>
                          <w:szCs w:val="20"/>
                        </w:rPr>
                      </w:pPr>
                      <w:r w:rsidRPr="00572E61">
                        <w:rPr>
                          <w:rFonts w:eastAsia="Calibri" w:cs="Arial"/>
                          <w:sz w:val="20"/>
                          <w:szCs w:val="20"/>
                        </w:rPr>
                        <w:t>0.8 pitch</w:t>
                      </w:r>
                    </w:p>
                    <w:p w14:paraId="55B730CF" w14:textId="77777777" w:rsidR="00992EC6" w:rsidRPr="00A36B94" w:rsidRDefault="00992EC6" w:rsidP="006035CE">
                      <w:pPr>
                        <w:tabs>
                          <w:tab w:val="left" w:pos="1080"/>
                        </w:tabs>
                        <w:spacing w:after="0"/>
                        <w:ind w:left="720" w:firstLine="72"/>
                        <w:rPr>
                          <w:sz w:val="20"/>
                          <w:szCs w:val="20"/>
                        </w:rPr>
                      </w:pPr>
                      <w:r w:rsidRPr="00A36B94">
                        <w:rPr>
                          <w:rFonts w:eastAsia="Calibri" w:cs="Arial"/>
                          <w:sz w:val="20"/>
                          <w:szCs w:val="20"/>
                        </w:rPr>
                        <w:t>CT reconstruction is performed at 5 mm slice thickness into a 512 x 512 matrix.</w:t>
                      </w:r>
                    </w:p>
                  </w:txbxContent>
                </v:textbox>
                <w10:wrap anchorx="page" anchory="margin"/>
              </v:shape>
            </w:pict>
          </mc:Fallback>
        </mc:AlternateContent>
      </w:r>
    </w:p>
    <w:p w14:paraId="27D4FF84" w14:textId="62F1AAA2" w:rsidR="006035CE" w:rsidRPr="002369BD" w:rsidRDefault="006035CE" w:rsidP="002369BD">
      <w:pPr>
        <w:tabs>
          <w:tab w:val="left" w:pos="360"/>
          <w:tab w:val="left" w:pos="630"/>
        </w:tabs>
        <w:spacing w:after="0" w:line="360" w:lineRule="auto"/>
        <w:jc w:val="both"/>
        <w:rPr>
          <w:rFonts w:ascii="Arial" w:hAnsi="Arial" w:cs="Arial"/>
          <w:i/>
          <w:iCs/>
          <w:sz w:val="24"/>
          <w:szCs w:val="24"/>
        </w:rPr>
      </w:pPr>
    </w:p>
    <w:p w14:paraId="0926E961" w14:textId="4BA219D4" w:rsidR="006035CE" w:rsidRDefault="006035CE" w:rsidP="006035CE">
      <w:pPr>
        <w:tabs>
          <w:tab w:val="left" w:pos="360"/>
          <w:tab w:val="left" w:pos="630"/>
        </w:tabs>
        <w:spacing w:after="0" w:line="360" w:lineRule="auto"/>
        <w:jc w:val="both"/>
        <w:rPr>
          <w:rFonts w:ascii="Arial" w:hAnsi="Arial" w:cs="Arial"/>
          <w:i/>
          <w:iCs/>
          <w:sz w:val="24"/>
          <w:szCs w:val="24"/>
        </w:rPr>
      </w:pPr>
    </w:p>
    <w:p w14:paraId="776FE855" w14:textId="0053F43E" w:rsidR="006035CE" w:rsidRDefault="006035CE" w:rsidP="006035CE">
      <w:pPr>
        <w:tabs>
          <w:tab w:val="left" w:pos="360"/>
          <w:tab w:val="left" w:pos="630"/>
        </w:tabs>
        <w:spacing w:after="0" w:line="360" w:lineRule="auto"/>
        <w:jc w:val="both"/>
        <w:rPr>
          <w:rFonts w:ascii="Arial" w:hAnsi="Arial" w:cs="Arial"/>
          <w:i/>
          <w:iCs/>
          <w:sz w:val="24"/>
          <w:szCs w:val="24"/>
        </w:rPr>
      </w:pPr>
    </w:p>
    <w:p w14:paraId="430163ED" w14:textId="6E33846E" w:rsidR="006035CE" w:rsidRDefault="006035CE" w:rsidP="006035CE">
      <w:pPr>
        <w:tabs>
          <w:tab w:val="left" w:pos="360"/>
          <w:tab w:val="left" w:pos="630"/>
        </w:tabs>
        <w:spacing w:after="0" w:line="360" w:lineRule="auto"/>
        <w:jc w:val="both"/>
        <w:rPr>
          <w:rFonts w:ascii="Arial" w:hAnsi="Arial" w:cs="Arial"/>
          <w:i/>
          <w:iCs/>
          <w:sz w:val="24"/>
          <w:szCs w:val="24"/>
        </w:rPr>
      </w:pPr>
    </w:p>
    <w:p w14:paraId="6965AAE2" w14:textId="56349045" w:rsidR="000D6512" w:rsidRPr="002369BD" w:rsidRDefault="000D6512" w:rsidP="002369BD">
      <w:pPr>
        <w:tabs>
          <w:tab w:val="left" w:pos="360"/>
          <w:tab w:val="left" w:pos="630"/>
        </w:tabs>
        <w:spacing w:after="0" w:line="360" w:lineRule="auto"/>
        <w:jc w:val="both"/>
        <w:rPr>
          <w:rFonts w:ascii="Arial" w:hAnsi="Arial" w:cs="Arial"/>
          <w:i/>
          <w:iCs/>
          <w:sz w:val="24"/>
          <w:szCs w:val="24"/>
        </w:rPr>
      </w:pPr>
    </w:p>
    <w:p w14:paraId="1B586C48" w14:textId="1686D88C" w:rsidR="002A75AE" w:rsidRPr="002369BD" w:rsidRDefault="005614BB" w:rsidP="00232BDE">
      <w:pPr>
        <w:pStyle w:val="ListParagraph"/>
        <w:numPr>
          <w:ilvl w:val="0"/>
          <w:numId w:val="16"/>
        </w:numPr>
        <w:tabs>
          <w:tab w:val="left" w:pos="360"/>
          <w:tab w:val="left" w:pos="630"/>
        </w:tabs>
        <w:spacing w:after="0" w:line="360" w:lineRule="auto"/>
        <w:jc w:val="both"/>
        <w:rPr>
          <w:rFonts w:ascii="Arial" w:hAnsi="Arial" w:cs="Arial"/>
          <w:i/>
          <w:iCs/>
          <w:sz w:val="24"/>
          <w:szCs w:val="24"/>
        </w:rPr>
      </w:pPr>
      <w:r w:rsidRPr="002369BD">
        <w:rPr>
          <w:rFonts w:ascii="Arial" w:eastAsia="Calibri" w:hAnsi="Arial" w:cs="Arial"/>
          <w:i/>
          <w:iCs/>
          <w:sz w:val="24"/>
          <w:szCs w:val="24"/>
        </w:rPr>
        <w:t>Flood source</w:t>
      </w:r>
      <w:r w:rsidRPr="002369BD">
        <w:rPr>
          <w:rFonts w:ascii="Arial" w:eastAsia="Calibri" w:hAnsi="Arial" w:cs="Arial"/>
          <w:sz w:val="24"/>
          <w:szCs w:val="24"/>
        </w:rPr>
        <w:t xml:space="preserve">:  </w:t>
      </w:r>
      <w:r w:rsidR="004E709C">
        <w:rPr>
          <w:rFonts w:ascii="Arial" w:eastAsia="Calibri" w:hAnsi="Arial" w:cs="Arial"/>
          <w:sz w:val="24"/>
          <w:szCs w:val="24"/>
        </w:rPr>
        <w:t>An image obtained with a</w:t>
      </w:r>
      <w:r w:rsidRPr="002369BD">
        <w:rPr>
          <w:rFonts w:ascii="Arial" w:eastAsia="Calibri" w:hAnsi="Arial" w:cs="Arial"/>
          <w:sz w:val="24"/>
          <w:szCs w:val="24"/>
        </w:rPr>
        <w:t xml:space="preserve"> flood source may be considered</w:t>
      </w:r>
      <w:r w:rsidR="006A2B19">
        <w:rPr>
          <w:rFonts w:ascii="Arial" w:eastAsia="Calibri" w:hAnsi="Arial" w:cs="Arial"/>
          <w:sz w:val="24"/>
          <w:szCs w:val="24"/>
        </w:rPr>
        <w:t xml:space="preserve"> </w:t>
      </w:r>
      <w:r w:rsidR="006A2B19" w:rsidRPr="006A2B19">
        <w:rPr>
          <w:rFonts w:ascii="Arial" w:eastAsia="Calibri" w:hAnsi="Arial" w:cs="Arial"/>
          <w:sz w:val="24"/>
          <w:szCs w:val="24"/>
        </w:rPr>
        <w:t>to outline body contour</w:t>
      </w:r>
      <w:r w:rsidR="004E709C">
        <w:rPr>
          <w:rFonts w:ascii="Arial" w:eastAsia="Calibri" w:hAnsi="Arial" w:cs="Arial"/>
          <w:sz w:val="24"/>
          <w:szCs w:val="24"/>
        </w:rPr>
        <w:t>.</w:t>
      </w:r>
    </w:p>
    <w:p w14:paraId="62BF54A7" w14:textId="714B3D2B" w:rsidR="00564E93" w:rsidRPr="002369BD" w:rsidRDefault="00DA4037" w:rsidP="00232BDE">
      <w:pPr>
        <w:pStyle w:val="ListParagraph"/>
        <w:numPr>
          <w:ilvl w:val="0"/>
          <w:numId w:val="16"/>
        </w:numPr>
        <w:tabs>
          <w:tab w:val="left" w:pos="360"/>
          <w:tab w:val="left" w:pos="630"/>
        </w:tabs>
        <w:spacing w:after="0" w:line="360" w:lineRule="auto"/>
        <w:jc w:val="both"/>
        <w:rPr>
          <w:rFonts w:ascii="Arial" w:hAnsi="Arial" w:cs="Arial"/>
          <w:i/>
          <w:iCs/>
          <w:sz w:val="24"/>
          <w:szCs w:val="24"/>
        </w:rPr>
      </w:pPr>
      <w:r w:rsidRPr="002369BD">
        <w:rPr>
          <w:rFonts w:ascii="Arial" w:hAnsi="Arial" w:cs="Arial"/>
          <w:i/>
          <w:iCs/>
          <w:sz w:val="24"/>
          <w:szCs w:val="24"/>
        </w:rPr>
        <w:t xml:space="preserve">24-Hour </w:t>
      </w:r>
      <w:r w:rsidR="00F46C77" w:rsidRPr="002369BD">
        <w:rPr>
          <w:rFonts w:ascii="Arial" w:hAnsi="Arial" w:cs="Arial"/>
          <w:i/>
          <w:iCs/>
          <w:sz w:val="24"/>
          <w:szCs w:val="24"/>
        </w:rPr>
        <w:t>Neck Uptake/Residual Fraction:</w:t>
      </w:r>
      <w:r w:rsidR="00F46C77" w:rsidRPr="002369BD">
        <w:rPr>
          <w:rFonts w:ascii="Arial" w:hAnsi="Arial" w:cs="Arial"/>
          <w:sz w:val="24"/>
          <w:szCs w:val="24"/>
        </w:rPr>
        <w:t xml:space="preserve">  Quantitative </w:t>
      </w:r>
      <w:r w:rsidR="004256E9" w:rsidRPr="002369BD">
        <w:rPr>
          <w:rFonts w:ascii="Arial" w:hAnsi="Arial" w:cs="Arial"/>
          <w:sz w:val="24"/>
          <w:szCs w:val="24"/>
        </w:rPr>
        <w:t>measurement of RAI</w:t>
      </w:r>
      <w:r w:rsidR="00564E93" w:rsidRPr="002369BD">
        <w:rPr>
          <w:rFonts w:ascii="Arial" w:hAnsi="Arial" w:cs="Arial"/>
          <w:sz w:val="24"/>
          <w:szCs w:val="24"/>
        </w:rPr>
        <w:t xml:space="preserve"> uptake </w:t>
      </w:r>
      <w:r w:rsidR="004256E9" w:rsidRPr="002369BD">
        <w:rPr>
          <w:rFonts w:ascii="Arial" w:hAnsi="Arial" w:cs="Arial"/>
          <w:sz w:val="24"/>
          <w:szCs w:val="24"/>
        </w:rPr>
        <w:t xml:space="preserve">(RAIU) in the neck </w:t>
      </w:r>
      <w:r w:rsidR="0001511F" w:rsidRPr="002369BD">
        <w:rPr>
          <w:rFonts w:ascii="Arial" w:hAnsi="Arial" w:cs="Arial"/>
          <w:sz w:val="24"/>
          <w:szCs w:val="24"/>
        </w:rPr>
        <w:t>is</w:t>
      </w:r>
      <w:r w:rsidR="00564E93" w:rsidRPr="002369BD">
        <w:rPr>
          <w:rFonts w:ascii="Arial" w:hAnsi="Arial" w:cs="Arial"/>
          <w:sz w:val="24"/>
          <w:szCs w:val="24"/>
        </w:rPr>
        <w:t xml:space="preserve"> often helpful in </w:t>
      </w:r>
      <w:r w:rsidR="00F46C77" w:rsidRPr="002369BD">
        <w:rPr>
          <w:rFonts w:ascii="Arial" w:hAnsi="Arial" w:cs="Arial"/>
          <w:sz w:val="24"/>
          <w:szCs w:val="24"/>
        </w:rPr>
        <w:t>determining</w:t>
      </w:r>
      <w:r w:rsidR="00564E93" w:rsidRPr="002369BD">
        <w:rPr>
          <w:rFonts w:ascii="Arial" w:hAnsi="Arial" w:cs="Arial"/>
          <w:sz w:val="24"/>
          <w:szCs w:val="24"/>
        </w:rPr>
        <w:t xml:space="preserve"> the mass of remaining thyroid tissue or tumor</w:t>
      </w:r>
      <w:r w:rsidR="00F46C77" w:rsidRPr="002369BD">
        <w:rPr>
          <w:rFonts w:ascii="Arial" w:hAnsi="Arial" w:cs="Arial"/>
          <w:sz w:val="24"/>
          <w:szCs w:val="24"/>
        </w:rPr>
        <w:t xml:space="preserve"> and </w:t>
      </w:r>
      <w:r w:rsidR="0001511F" w:rsidRPr="002369BD">
        <w:rPr>
          <w:rFonts w:ascii="Arial" w:hAnsi="Arial" w:cs="Arial"/>
          <w:sz w:val="24"/>
          <w:szCs w:val="24"/>
        </w:rPr>
        <w:t>is</w:t>
      </w:r>
      <w:r w:rsidR="00F46C77" w:rsidRPr="002369BD">
        <w:rPr>
          <w:rFonts w:ascii="Arial" w:hAnsi="Arial" w:cs="Arial"/>
          <w:sz w:val="24"/>
          <w:szCs w:val="24"/>
        </w:rPr>
        <w:t xml:space="preserve"> usually acquired at 24 hours after administration of 123I NaI or 131I NaI.  </w:t>
      </w:r>
      <w:r w:rsidR="004256E9" w:rsidRPr="002369BD">
        <w:rPr>
          <w:rFonts w:ascii="Arial" w:hAnsi="Arial" w:cs="Arial"/>
          <w:sz w:val="24"/>
          <w:szCs w:val="24"/>
        </w:rPr>
        <w:t xml:space="preserve">The </w:t>
      </w:r>
      <w:r w:rsidR="00783BBE" w:rsidRPr="002369BD">
        <w:rPr>
          <w:rFonts w:ascii="Arial" w:hAnsi="Arial" w:cs="Arial"/>
          <w:sz w:val="24"/>
          <w:szCs w:val="24"/>
        </w:rPr>
        <w:t>desired</w:t>
      </w:r>
      <w:r w:rsidR="004256E9" w:rsidRPr="002369BD">
        <w:rPr>
          <w:rFonts w:ascii="Arial" w:hAnsi="Arial" w:cs="Arial"/>
          <w:sz w:val="24"/>
          <w:szCs w:val="24"/>
        </w:rPr>
        <w:t xml:space="preserve"> value after near total </w:t>
      </w:r>
      <w:r w:rsidR="0001511F" w:rsidRPr="002369BD">
        <w:rPr>
          <w:rFonts w:ascii="Arial" w:hAnsi="Arial" w:cs="Arial"/>
          <w:sz w:val="24"/>
          <w:szCs w:val="24"/>
        </w:rPr>
        <w:t xml:space="preserve">or total </w:t>
      </w:r>
      <w:r w:rsidR="004256E9" w:rsidRPr="002369BD">
        <w:rPr>
          <w:rFonts w:ascii="Arial" w:hAnsi="Arial" w:cs="Arial"/>
          <w:sz w:val="24"/>
          <w:szCs w:val="24"/>
        </w:rPr>
        <w:t xml:space="preserve">thyroidectomy is </w:t>
      </w:r>
      <w:r w:rsidR="0001511F" w:rsidRPr="002369BD">
        <w:rPr>
          <w:rFonts w:ascii="Arial" w:hAnsi="Arial" w:cs="Arial"/>
          <w:sz w:val="24"/>
          <w:szCs w:val="24"/>
        </w:rPr>
        <w:t>0.5 – 5%.</w:t>
      </w:r>
      <w:r w:rsidR="00FB3DE6" w:rsidRPr="002369BD">
        <w:rPr>
          <w:rFonts w:ascii="Arial" w:hAnsi="Arial" w:cs="Arial"/>
          <w:sz w:val="24"/>
          <w:szCs w:val="24"/>
        </w:rPr>
        <w:t xml:space="preserve">  The technique is as follows:</w:t>
      </w:r>
    </w:p>
    <w:p w14:paraId="0ABE349C" w14:textId="71A96805" w:rsidR="00FB3DE6" w:rsidRPr="002369BD" w:rsidRDefault="00FB3DE6" w:rsidP="002369BD">
      <w:pPr>
        <w:pStyle w:val="ListParagraph"/>
        <w:numPr>
          <w:ilvl w:val="0"/>
          <w:numId w:val="19"/>
        </w:num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 xml:space="preserve">Uptake is typically measured with 25–30 cm between the face of the crystal and the </w:t>
      </w:r>
      <w:r w:rsidR="002675CC" w:rsidRPr="002369BD">
        <w:rPr>
          <w:rFonts w:ascii="Arial" w:hAnsi="Arial" w:cs="Arial"/>
          <w:sz w:val="24"/>
          <w:szCs w:val="24"/>
        </w:rPr>
        <w:t>area</w:t>
      </w:r>
      <w:r w:rsidR="00313A6C" w:rsidRPr="002369BD">
        <w:rPr>
          <w:rFonts w:ascii="Arial" w:hAnsi="Arial" w:cs="Arial"/>
          <w:sz w:val="24"/>
          <w:szCs w:val="24"/>
        </w:rPr>
        <w:t xml:space="preserve">(s) </w:t>
      </w:r>
      <w:r w:rsidR="002675CC" w:rsidRPr="002369BD">
        <w:rPr>
          <w:rFonts w:ascii="Arial" w:hAnsi="Arial" w:cs="Arial"/>
          <w:sz w:val="24"/>
          <w:szCs w:val="24"/>
        </w:rPr>
        <w:t>of interest</w:t>
      </w:r>
      <w:r w:rsidRPr="002369BD">
        <w:rPr>
          <w:rFonts w:ascii="Arial" w:hAnsi="Arial" w:cs="Arial"/>
          <w:sz w:val="24"/>
          <w:szCs w:val="24"/>
        </w:rPr>
        <w:t>.</w:t>
      </w:r>
    </w:p>
    <w:p w14:paraId="63E869A1" w14:textId="63527C60" w:rsidR="00306679" w:rsidRPr="002369BD" w:rsidRDefault="39022FE1" w:rsidP="002369BD">
      <w:pPr>
        <w:pStyle w:val="ListParagraph"/>
        <w:numPr>
          <w:ilvl w:val="0"/>
          <w:numId w:val="19"/>
        </w:num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 xml:space="preserve">One example amongst variable techniques using an uptake probe and software is as follows.  Acquire counts for 1 minute for each of the following: over the thyroid bed, patient’s thigh (body background), room background, and a </w:t>
      </w:r>
      <w:r w:rsidRPr="002369BD">
        <w:rPr>
          <w:rFonts w:ascii="Arial" w:hAnsi="Arial" w:cs="Arial"/>
          <w:sz w:val="24"/>
          <w:szCs w:val="24"/>
        </w:rPr>
        <w:lastRenderedPageBreak/>
        <w:t xml:space="preserve">calibrated standard (radiopharmaceutical source identical to that administered to the patient) contained in a neck phantom.  </w:t>
      </w:r>
    </w:p>
    <w:p w14:paraId="53D50B75" w14:textId="6E7A4DCE" w:rsidR="00306679" w:rsidRPr="002369BD" w:rsidRDefault="00306679" w:rsidP="002369BD">
      <w:pPr>
        <w:pStyle w:val="ListParagraph"/>
        <w:numPr>
          <w:ilvl w:val="0"/>
          <w:numId w:val="19"/>
        </w:num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The 24-hour RAIU can then be calculated as:</w:t>
      </w:r>
    </w:p>
    <w:p w14:paraId="2365DF69" w14:textId="493A3C04" w:rsidR="00465833" w:rsidRPr="002369BD" w:rsidRDefault="002D2E42" w:rsidP="009028D3">
      <w:pPr>
        <w:pStyle w:val="ListParagraph"/>
        <w:tabs>
          <w:tab w:val="left" w:pos="360"/>
          <w:tab w:val="left" w:pos="630"/>
        </w:tabs>
        <w:spacing w:after="0" w:line="360" w:lineRule="auto"/>
        <w:jc w:val="both"/>
        <w:rPr>
          <w:rFonts w:ascii="Arial" w:hAnsi="Arial" w:cs="Arial"/>
          <w:sz w:val="24"/>
          <w:szCs w:val="24"/>
        </w:rPr>
      </w:pPr>
      <w:r w:rsidRPr="002369BD">
        <w:rPr>
          <w:rFonts w:ascii="Arial" w:hAnsi="Arial" w:cs="Arial"/>
          <w:noProof/>
          <w:sz w:val="24"/>
          <w:szCs w:val="24"/>
        </w:rPr>
        <w:drawing>
          <wp:anchor distT="0" distB="0" distL="114300" distR="114300" simplePos="0" relativeHeight="251658241" behindDoc="1" locked="0" layoutInCell="1" allowOverlap="1" wp14:anchorId="575095EF" wp14:editId="70FE9B09">
            <wp:simplePos x="0" y="0"/>
            <wp:positionH relativeFrom="margin">
              <wp:posOffset>1776730</wp:posOffset>
            </wp:positionH>
            <wp:positionV relativeFrom="bottomMargin">
              <wp:posOffset>-7360920</wp:posOffset>
            </wp:positionV>
            <wp:extent cx="2667000" cy="464820"/>
            <wp:effectExtent l="0" t="0" r="0" b="0"/>
            <wp:wrapTight wrapText="bothSides">
              <wp:wrapPolygon edited="0">
                <wp:start x="0" y="0"/>
                <wp:lineTo x="0" y="20361"/>
                <wp:lineTo x="21446" y="20361"/>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93" t="7473" r="2219" b="9627"/>
                    <a:stretch/>
                  </pic:blipFill>
                  <pic:spPr bwMode="auto">
                    <a:xfrm>
                      <a:off x="0" y="0"/>
                      <a:ext cx="266700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4FB265" w14:textId="0610AFF0" w:rsidR="00465833" w:rsidRPr="002369BD" w:rsidRDefault="00465833" w:rsidP="009028D3">
      <w:pPr>
        <w:pStyle w:val="ListParagraph"/>
        <w:tabs>
          <w:tab w:val="left" w:pos="360"/>
          <w:tab w:val="left" w:pos="630"/>
        </w:tabs>
        <w:spacing w:after="0" w:line="360" w:lineRule="auto"/>
        <w:jc w:val="both"/>
        <w:rPr>
          <w:rFonts w:ascii="Arial" w:hAnsi="Arial" w:cs="Arial"/>
          <w:sz w:val="24"/>
          <w:szCs w:val="24"/>
        </w:rPr>
      </w:pPr>
    </w:p>
    <w:p w14:paraId="4EAE63BA" w14:textId="0CC8C201" w:rsidR="00572E61" w:rsidRPr="002369BD" w:rsidRDefault="00572E61" w:rsidP="009028D3">
      <w:pPr>
        <w:pStyle w:val="ListParagraph"/>
        <w:tabs>
          <w:tab w:val="left" w:pos="360"/>
          <w:tab w:val="left" w:pos="630"/>
        </w:tabs>
        <w:spacing w:after="0" w:line="360" w:lineRule="auto"/>
        <w:ind w:left="0"/>
        <w:jc w:val="both"/>
        <w:rPr>
          <w:rFonts w:ascii="Arial" w:hAnsi="Arial" w:cs="Arial"/>
          <w:i/>
          <w:iCs/>
          <w:sz w:val="24"/>
          <w:szCs w:val="24"/>
        </w:rPr>
      </w:pPr>
    </w:p>
    <w:p w14:paraId="0103739F" w14:textId="2F9188AB" w:rsidR="00306679" w:rsidRPr="002369BD" w:rsidRDefault="00254241" w:rsidP="00232BDE">
      <w:pPr>
        <w:pStyle w:val="ListParagraph"/>
        <w:numPr>
          <w:ilvl w:val="0"/>
          <w:numId w:val="16"/>
        </w:numPr>
        <w:tabs>
          <w:tab w:val="left" w:pos="360"/>
          <w:tab w:val="left" w:pos="630"/>
          <w:tab w:val="num" w:pos="1080"/>
        </w:tabs>
        <w:spacing w:after="0" w:line="360" w:lineRule="auto"/>
        <w:jc w:val="both"/>
        <w:rPr>
          <w:rFonts w:ascii="Arial" w:hAnsi="Arial" w:cs="Arial"/>
          <w:sz w:val="24"/>
          <w:szCs w:val="24"/>
        </w:rPr>
      </w:pPr>
      <w:r w:rsidRPr="002369BD">
        <w:rPr>
          <w:rFonts w:ascii="Arial" w:hAnsi="Arial" w:cs="Arial"/>
          <w:i/>
          <w:iCs/>
          <w:sz w:val="24"/>
          <w:szCs w:val="24"/>
        </w:rPr>
        <w:t>FDG-PET/CT:</w:t>
      </w:r>
      <w:r w:rsidRPr="002369BD">
        <w:rPr>
          <w:rFonts w:ascii="Arial" w:hAnsi="Arial" w:cs="Arial"/>
          <w:sz w:val="24"/>
          <w:szCs w:val="24"/>
        </w:rPr>
        <w:t xml:space="preserve"> Follow </w:t>
      </w:r>
      <w:r w:rsidR="00783BBE" w:rsidRPr="002369BD">
        <w:rPr>
          <w:rFonts w:ascii="Arial" w:hAnsi="Arial" w:cs="Arial"/>
          <w:sz w:val="24"/>
          <w:szCs w:val="24"/>
        </w:rPr>
        <w:t>the</w:t>
      </w:r>
      <w:r w:rsidRPr="002369BD">
        <w:rPr>
          <w:rFonts w:ascii="Arial" w:hAnsi="Arial" w:cs="Arial"/>
          <w:sz w:val="24"/>
          <w:szCs w:val="24"/>
        </w:rPr>
        <w:t xml:space="preserve"> usual PET/CT oncology protocol.  Acquisition should be in the 3D mode.  </w:t>
      </w:r>
    </w:p>
    <w:p w14:paraId="2F451A12" w14:textId="20A4DD76" w:rsidR="00B65185" w:rsidRPr="002369BD" w:rsidRDefault="00B65185" w:rsidP="009028D3">
      <w:pPr>
        <w:tabs>
          <w:tab w:val="left" w:pos="360"/>
          <w:tab w:val="left" w:pos="630"/>
        </w:tabs>
        <w:spacing w:after="0" w:line="360" w:lineRule="auto"/>
        <w:jc w:val="both"/>
        <w:rPr>
          <w:rFonts w:ascii="Arial" w:hAnsi="Arial" w:cs="Arial"/>
          <w:sz w:val="24"/>
          <w:szCs w:val="24"/>
        </w:rPr>
      </w:pPr>
    </w:p>
    <w:p w14:paraId="72A21FD6" w14:textId="37CDB87E" w:rsidR="00DE5780" w:rsidRPr="002369BD" w:rsidRDefault="006E524F" w:rsidP="009028D3">
      <w:pPr>
        <w:tabs>
          <w:tab w:val="left" w:pos="360"/>
          <w:tab w:val="left" w:pos="630"/>
        </w:tabs>
        <w:spacing w:after="0" w:line="360" w:lineRule="auto"/>
        <w:jc w:val="both"/>
        <w:rPr>
          <w:rFonts w:ascii="Arial" w:hAnsi="Arial" w:cs="Arial"/>
          <w:b/>
          <w:bCs/>
          <w:sz w:val="24"/>
          <w:szCs w:val="24"/>
        </w:rPr>
      </w:pPr>
      <w:r>
        <w:rPr>
          <w:rFonts w:ascii="Arial" w:hAnsi="Arial" w:cs="Arial"/>
          <w:b/>
          <w:bCs/>
          <w:sz w:val="24"/>
          <w:szCs w:val="24"/>
        </w:rPr>
        <w:t>F</w:t>
      </w:r>
      <w:r w:rsidR="00DE5780" w:rsidRPr="002369BD">
        <w:rPr>
          <w:rFonts w:ascii="Arial" w:hAnsi="Arial" w:cs="Arial"/>
          <w:b/>
          <w:bCs/>
          <w:sz w:val="24"/>
          <w:szCs w:val="24"/>
        </w:rPr>
        <w:t xml:space="preserve">. Interpretation Criteria </w:t>
      </w:r>
    </w:p>
    <w:p w14:paraId="7B9D382E" w14:textId="67AB0F1E" w:rsidR="00DE5780" w:rsidRPr="002369BD" w:rsidRDefault="00572E61"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C2145C" w:rsidRPr="002369BD">
        <w:rPr>
          <w:rFonts w:ascii="Arial" w:hAnsi="Arial" w:cs="Arial"/>
          <w:sz w:val="24"/>
          <w:szCs w:val="24"/>
          <w:u w:val="single"/>
        </w:rPr>
        <w:t>Physical Examination</w:t>
      </w:r>
      <w:r w:rsidR="00C2145C" w:rsidRPr="002369BD">
        <w:rPr>
          <w:rFonts w:ascii="Arial" w:hAnsi="Arial" w:cs="Arial"/>
          <w:sz w:val="24"/>
          <w:szCs w:val="24"/>
        </w:rPr>
        <w:t>:</w:t>
      </w:r>
      <w:r w:rsidR="00577B4C" w:rsidRPr="002369BD">
        <w:rPr>
          <w:rFonts w:ascii="Arial" w:hAnsi="Arial" w:cs="Arial"/>
          <w:sz w:val="24"/>
          <w:szCs w:val="24"/>
        </w:rPr>
        <w:t xml:space="preserve">  </w:t>
      </w:r>
      <w:r w:rsidR="00DE5780" w:rsidRPr="002369BD">
        <w:rPr>
          <w:rFonts w:ascii="Arial" w:hAnsi="Arial" w:cs="Arial"/>
          <w:sz w:val="24"/>
          <w:szCs w:val="24"/>
        </w:rPr>
        <w:t xml:space="preserve">An adequate physical examination and history should be obtained. </w:t>
      </w:r>
      <w:r w:rsidR="006C7800" w:rsidRPr="002369BD">
        <w:rPr>
          <w:rFonts w:ascii="Arial" w:hAnsi="Arial" w:cs="Arial"/>
          <w:sz w:val="24"/>
          <w:szCs w:val="24"/>
        </w:rPr>
        <w:t>P</w:t>
      </w:r>
      <w:r w:rsidR="00DE5780" w:rsidRPr="002369BD">
        <w:rPr>
          <w:rFonts w:ascii="Arial" w:hAnsi="Arial" w:cs="Arial"/>
          <w:sz w:val="24"/>
          <w:szCs w:val="24"/>
        </w:rPr>
        <w:t xml:space="preserve">alpable </w:t>
      </w:r>
      <w:r w:rsidR="00C2145C" w:rsidRPr="002369BD">
        <w:rPr>
          <w:rFonts w:ascii="Arial" w:hAnsi="Arial" w:cs="Arial"/>
          <w:sz w:val="24"/>
          <w:szCs w:val="24"/>
        </w:rPr>
        <w:t>sof</w:t>
      </w:r>
      <w:r w:rsidR="00A87E69" w:rsidRPr="002369BD">
        <w:rPr>
          <w:rFonts w:ascii="Arial" w:hAnsi="Arial" w:cs="Arial"/>
          <w:sz w:val="24"/>
          <w:szCs w:val="24"/>
        </w:rPr>
        <w:t>t</w:t>
      </w:r>
      <w:r w:rsidR="000A3D8F" w:rsidRPr="002369BD">
        <w:rPr>
          <w:rFonts w:ascii="Arial" w:hAnsi="Arial" w:cs="Arial"/>
          <w:sz w:val="24"/>
          <w:szCs w:val="24"/>
        </w:rPr>
        <w:t xml:space="preserve"> </w:t>
      </w:r>
      <w:r w:rsidR="00DE5780" w:rsidRPr="002369BD">
        <w:rPr>
          <w:rFonts w:ascii="Arial" w:hAnsi="Arial" w:cs="Arial"/>
          <w:sz w:val="24"/>
          <w:szCs w:val="24"/>
        </w:rPr>
        <w:t xml:space="preserve">tissue in the neck should be </w:t>
      </w:r>
      <w:r w:rsidR="00C2145C" w:rsidRPr="002369BD">
        <w:rPr>
          <w:rFonts w:ascii="Arial" w:hAnsi="Arial" w:cs="Arial"/>
          <w:sz w:val="24"/>
          <w:szCs w:val="24"/>
        </w:rPr>
        <w:t xml:space="preserve">correlated </w:t>
      </w:r>
      <w:r w:rsidR="00DE5780" w:rsidRPr="002369BD">
        <w:rPr>
          <w:rFonts w:ascii="Arial" w:hAnsi="Arial" w:cs="Arial"/>
          <w:sz w:val="24"/>
          <w:szCs w:val="24"/>
        </w:rPr>
        <w:t>with</w:t>
      </w:r>
      <w:r w:rsidR="00A87E69" w:rsidRPr="002369BD">
        <w:rPr>
          <w:rFonts w:ascii="Arial" w:hAnsi="Arial" w:cs="Arial"/>
          <w:sz w:val="24"/>
          <w:szCs w:val="24"/>
        </w:rPr>
        <w:t xml:space="preserve"> </w:t>
      </w:r>
      <w:r w:rsidR="00DE5780" w:rsidRPr="002369BD">
        <w:rPr>
          <w:rFonts w:ascii="Arial" w:hAnsi="Arial" w:cs="Arial"/>
          <w:sz w:val="24"/>
          <w:szCs w:val="24"/>
        </w:rPr>
        <w:t xml:space="preserve">scintigraphic findings. </w:t>
      </w:r>
    </w:p>
    <w:p w14:paraId="429258BA" w14:textId="7795F7E9" w:rsidR="00CF38F9" w:rsidRPr="002369BD" w:rsidRDefault="00CF38F9" w:rsidP="009028D3">
      <w:pPr>
        <w:tabs>
          <w:tab w:val="left" w:pos="360"/>
          <w:tab w:val="left" w:pos="630"/>
        </w:tabs>
        <w:spacing w:after="0" w:line="360" w:lineRule="auto"/>
        <w:jc w:val="both"/>
        <w:rPr>
          <w:rFonts w:ascii="Arial" w:hAnsi="Arial" w:cs="Arial"/>
          <w:sz w:val="24"/>
          <w:szCs w:val="24"/>
        </w:rPr>
      </w:pPr>
    </w:p>
    <w:p w14:paraId="376E9D7B" w14:textId="0DE36FDD" w:rsidR="00854A60" w:rsidRPr="002369BD" w:rsidRDefault="00572E61"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854A60" w:rsidRPr="002369BD">
        <w:rPr>
          <w:rFonts w:ascii="Arial" w:hAnsi="Arial" w:cs="Arial"/>
          <w:sz w:val="24"/>
          <w:szCs w:val="24"/>
          <w:u w:val="single"/>
        </w:rPr>
        <w:t>Thyroid Bed Activity</w:t>
      </w:r>
      <w:r w:rsidR="00854A60" w:rsidRPr="002369BD">
        <w:rPr>
          <w:rFonts w:ascii="Arial" w:hAnsi="Arial" w:cs="Arial"/>
          <w:sz w:val="24"/>
          <w:szCs w:val="24"/>
        </w:rPr>
        <w:t>:</w:t>
      </w:r>
      <w:r w:rsidR="00577B4C" w:rsidRPr="002369BD">
        <w:rPr>
          <w:rFonts w:ascii="Arial" w:hAnsi="Arial" w:cs="Arial"/>
          <w:sz w:val="24"/>
          <w:szCs w:val="24"/>
        </w:rPr>
        <w:t xml:space="preserve">  </w:t>
      </w:r>
      <w:r w:rsidR="00854A60" w:rsidRPr="002369BD">
        <w:rPr>
          <w:rFonts w:ascii="Arial" w:hAnsi="Arial" w:cs="Arial"/>
          <w:sz w:val="24"/>
          <w:szCs w:val="24"/>
        </w:rPr>
        <w:t>Particular attention should be paid to</w:t>
      </w:r>
      <w:r w:rsidR="00F40F37" w:rsidRPr="002369BD">
        <w:rPr>
          <w:rFonts w:ascii="Arial" w:hAnsi="Arial" w:cs="Arial"/>
          <w:sz w:val="24"/>
          <w:szCs w:val="24"/>
        </w:rPr>
        <w:t xml:space="preserve"> </w:t>
      </w:r>
      <w:r w:rsidR="00854A60" w:rsidRPr="002369BD">
        <w:rPr>
          <w:rFonts w:ascii="Arial" w:hAnsi="Arial" w:cs="Arial"/>
          <w:sz w:val="24"/>
          <w:szCs w:val="24"/>
        </w:rPr>
        <w:t xml:space="preserve">any activity in the thyroid bed. </w:t>
      </w:r>
      <w:r w:rsidR="00077959" w:rsidRPr="002369BD">
        <w:rPr>
          <w:rFonts w:ascii="Arial" w:hAnsi="Arial" w:cs="Arial"/>
          <w:sz w:val="24"/>
          <w:szCs w:val="24"/>
        </w:rPr>
        <w:t>Planar</w:t>
      </w:r>
      <w:r w:rsidR="00854A60" w:rsidRPr="002369BD">
        <w:rPr>
          <w:rFonts w:ascii="Arial" w:hAnsi="Arial" w:cs="Arial"/>
          <w:sz w:val="24"/>
          <w:szCs w:val="24"/>
        </w:rPr>
        <w:t xml:space="preserve"> images may not differentiate between thyroid bed residual</w:t>
      </w:r>
      <w:r w:rsidR="002417C3" w:rsidRPr="002369BD">
        <w:rPr>
          <w:rFonts w:ascii="Arial" w:hAnsi="Arial" w:cs="Arial"/>
          <w:sz w:val="24"/>
          <w:szCs w:val="24"/>
        </w:rPr>
        <w:t xml:space="preserve"> </w:t>
      </w:r>
      <w:r w:rsidR="00854A60" w:rsidRPr="002369BD">
        <w:rPr>
          <w:rFonts w:ascii="Arial" w:hAnsi="Arial" w:cs="Arial"/>
          <w:sz w:val="24"/>
          <w:szCs w:val="24"/>
        </w:rPr>
        <w:t xml:space="preserve">normal thyroid tissue (i.e. thyroid remnants) versus thyroid malignancy. </w:t>
      </w:r>
      <w:r w:rsidR="00402DDD" w:rsidRPr="002369BD">
        <w:rPr>
          <w:rFonts w:ascii="Arial" w:hAnsi="Arial" w:cs="Arial"/>
          <w:sz w:val="24"/>
          <w:szCs w:val="24"/>
        </w:rPr>
        <w:t xml:space="preserve"> </w:t>
      </w:r>
      <w:r w:rsidR="00854A60" w:rsidRPr="002369BD">
        <w:rPr>
          <w:rFonts w:ascii="Arial" w:hAnsi="Arial" w:cs="Arial"/>
          <w:sz w:val="24"/>
          <w:szCs w:val="24"/>
        </w:rPr>
        <w:t xml:space="preserve">Lateral and oblique planar views and/or </w:t>
      </w:r>
      <w:r w:rsidR="0014716D" w:rsidRPr="002369BD">
        <w:rPr>
          <w:rFonts w:ascii="Arial" w:hAnsi="Arial" w:cs="Arial"/>
          <w:sz w:val="24"/>
          <w:szCs w:val="24"/>
        </w:rPr>
        <w:t xml:space="preserve">preferably </w:t>
      </w:r>
      <w:r w:rsidR="00D50135" w:rsidRPr="002369BD">
        <w:rPr>
          <w:rFonts w:ascii="Arial" w:hAnsi="Arial" w:cs="Arial"/>
          <w:sz w:val="24"/>
          <w:szCs w:val="24"/>
        </w:rPr>
        <w:t>S</w:t>
      </w:r>
      <w:r w:rsidR="00854A60" w:rsidRPr="002369BD">
        <w:rPr>
          <w:rFonts w:ascii="Arial" w:hAnsi="Arial" w:cs="Arial"/>
          <w:sz w:val="24"/>
          <w:szCs w:val="24"/>
        </w:rPr>
        <w:t xml:space="preserve">PECT/CT may be useful in this case </w:t>
      </w:r>
      <w:r w:rsidR="0014716D" w:rsidRPr="002369BD">
        <w:rPr>
          <w:rFonts w:ascii="Arial" w:hAnsi="Arial" w:cs="Arial"/>
          <w:sz w:val="24"/>
          <w:szCs w:val="24"/>
        </w:rPr>
        <w:t>to</w:t>
      </w:r>
      <w:r w:rsidR="00854A60" w:rsidRPr="002369BD">
        <w:rPr>
          <w:rFonts w:ascii="Arial" w:hAnsi="Arial" w:cs="Arial"/>
          <w:sz w:val="24"/>
          <w:szCs w:val="24"/>
        </w:rPr>
        <w:t xml:space="preserve"> help separate thyroid bed activity from </w:t>
      </w:r>
      <w:r w:rsidR="00C9383A" w:rsidRPr="002369BD">
        <w:rPr>
          <w:rFonts w:ascii="Arial" w:hAnsi="Arial" w:cs="Arial"/>
          <w:sz w:val="24"/>
          <w:szCs w:val="24"/>
        </w:rPr>
        <w:t xml:space="preserve">adjacent </w:t>
      </w:r>
      <w:r w:rsidR="00854A60" w:rsidRPr="002369BD">
        <w:rPr>
          <w:rFonts w:ascii="Arial" w:hAnsi="Arial" w:cs="Arial"/>
          <w:sz w:val="24"/>
          <w:szCs w:val="24"/>
        </w:rPr>
        <w:t xml:space="preserve">lymph node activity. </w:t>
      </w:r>
    </w:p>
    <w:p w14:paraId="5CC7ACF6" w14:textId="63BEF73D" w:rsidR="00CF38F9" w:rsidRPr="002369BD" w:rsidRDefault="00CF38F9" w:rsidP="009028D3">
      <w:pPr>
        <w:tabs>
          <w:tab w:val="left" w:pos="360"/>
          <w:tab w:val="left" w:pos="630"/>
        </w:tabs>
        <w:spacing w:after="0" w:line="360" w:lineRule="auto"/>
        <w:jc w:val="both"/>
        <w:rPr>
          <w:rFonts w:ascii="Arial" w:hAnsi="Arial" w:cs="Arial"/>
          <w:sz w:val="24"/>
          <w:szCs w:val="24"/>
        </w:rPr>
      </w:pPr>
    </w:p>
    <w:p w14:paraId="73EA6E3D" w14:textId="54390150" w:rsidR="008762C8" w:rsidRPr="002369BD" w:rsidRDefault="00572E61"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A85D8D" w:rsidRPr="002369BD">
        <w:rPr>
          <w:rFonts w:ascii="Arial" w:hAnsi="Arial" w:cs="Arial"/>
          <w:sz w:val="24"/>
          <w:szCs w:val="24"/>
          <w:u w:val="single"/>
        </w:rPr>
        <w:t>Image Correlation</w:t>
      </w:r>
      <w:r w:rsidR="00A85D8D" w:rsidRPr="002369BD">
        <w:rPr>
          <w:rFonts w:ascii="Arial" w:hAnsi="Arial" w:cs="Arial"/>
          <w:sz w:val="24"/>
          <w:szCs w:val="24"/>
        </w:rPr>
        <w:t>:</w:t>
      </w:r>
      <w:r w:rsidR="00577B4C" w:rsidRPr="002369BD">
        <w:rPr>
          <w:rFonts w:ascii="Arial" w:hAnsi="Arial" w:cs="Arial"/>
          <w:sz w:val="24"/>
          <w:szCs w:val="24"/>
        </w:rPr>
        <w:t xml:space="preserve">  </w:t>
      </w:r>
      <w:r w:rsidR="00A85D8D" w:rsidRPr="002369BD">
        <w:rPr>
          <w:rFonts w:ascii="Arial" w:hAnsi="Arial" w:cs="Arial"/>
          <w:sz w:val="24"/>
          <w:szCs w:val="24"/>
        </w:rPr>
        <w:t>Findings on physical examination and</w:t>
      </w:r>
      <w:r w:rsidR="00B03CCF" w:rsidRPr="002369BD">
        <w:rPr>
          <w:rFonts w:ascii="Arial" w:hAnsi="Arial" w:cs="Arial"/>
          <w:sz w:val="24"/>
          <w:szCs w:val="24"/>
        </w:rPr>
        <w:t xml:space="preserve"> </w:t>
      </w:r>
      <w:r w:rsidR="00A85D8D" w:rsidRPr="002369BD">
        <w:rPr>
          <w:rFonts w:ascii="Arial" w:hAnsi="Arial" w:cs="Arial"/>
          <w:sz w:val="24"/>
          <w:szCs w:val="24"/>
        </w:rPr>
        <w:t xml:space="preserve">scintigraphy should be </w:t>
      </w:r>
      <w:r w:rsidR="00B03CCF" w:rsidRPr="002369BD">
        <w:rPr>
          <w:rFonts w:ascii="Arial" w:hAnsi="Arial" w:cs="Arial"/>
          <w:sz w:val="24"/>
          <w:szCs w:val="24"/>
        </w:rPr>
        <w:t>c</w:t>
      </w:r>
      <w:r w:rsidR="00A85D8D" w:rsidRPr="002369BD">
        <w:rPr>
          <w:rFonts w:ascii="Arial" w:hAnsi="Arial" w:cs="Arial"/>
          <w:sz w:val="24"/>
          <w:szCs w:val="24"/>
        </w:rPr>
        <w:t>orrelated with any</w:t>
      </w:r>
      <w:r w:rsidR="008C5345" w:rsidRPr="002369BD">
        <w:rPr>
          <w:rFonts w:ascii="Arial" w:hAnsi="Arial" w:cs="Arial"/>
          <w:sz w:val="24"/>
          <w:szCs w:val="24"/>
        </w:rPr>
        <w:t xml:space="preserve"> </w:t>
      </w:r>
      <w:r w:rsidR="00A85D8D" w:rsidRPr="002369BD">
        <w:rPr>
          <w:rFonts w:ascii="Arial" w:hAnsi="Arial" w:cs="Arial"/>
          <w:sz w:val="24"/>
          <w:szCs w:val="24"/>
        </w:rPr>
        <w:t>additional imaging if available (i.e. CT, MR, US,</w:t>
      </w:r>
      <w:r w:rsidR="008762C8" w:rsidRPr="002369BD">
        <w:rPr>
          <w:rFonts w:ascii="Arial" w:hAnsi="Arial" w:cs="Arial"/>
          <w:sz w:val="24"/>
          <w:szCs w:val="24"/>
        </w:rPr>
        <w:t xml:space="preserve"> </w:t>
      </w:r>
      <w:r w:rsidR="00A85D8D" w:rsidRPr="002369BD">
        <w:rPr>
          <w:rFonts w:ascii="Arial" w:hAnsi="Arial" w:cs="Arial"/>
          <w:sz w:val="24"/>
          <w:szCs w:val="24"/>
        </w:rPr>
        <w:t>other</w:t>
      </w:r>
      <w:r w:rsidR="00FC65F0" w:rsidRPr="002369BD">
        <w:rPr>
          <w:rFonts w:ascii="Arial" w:hAnsi="Arial" w:cs="Arial"/>
          <w:sz w:val="24"/>
          <w:szCs w:val="24"/>
        </w:rPr>
        <w:t xml:space="preserve"> </w:t>
      </w:r>
      <w:r w:rsidR="00A85D8D" w:rsidRPr="002369BD">
        <w:rPr>
          <w:rFonts w:ascii="Arial" w:hAnsi="Arial" w:cs="Arial"/>
          <w:sz w:val="24"/>
          <w:szCs w:val="24"/>
        </w:rPr>
        <w:t>nuclear medicine studies).</w:t>
      </w:r>
      <w:r w:rsidR="004F6FAF" w:rsidRPr="002369BD">
        <w:rPr>
          <w:rFonts w:ascii="Arial" w:hAnsi="Arial" w:cs="Arial"/>
          <w:sz w:val="24"/>
          <w:szCs w:val="24"/>
        </w:rPr>
        <w:t xml:space="preserve">  </w:t>
      </w:r>
    </w:p>
    <w:p w14:paraId="6A0AA897" w14:textId="7BF7B5EB" w:rsidR="00022CED" w:rsidRPr="002369BD" w:rsidRDefault="00022CED" w:rsidP="009028D3">
      <w:pPr>
        <w:tabs>
          <w:tab w:val="left" w:pos="360"/>
          <w:tab w:val="left" w:pos="630"/>
        </w:tabs>
        <w:spacing w:after="0" w:line="360" w:lineRule="auto"/>
        <w:jc w:val="both"/>
        <w:rPr>
          <w:rFonts w:ascii="Arial" w:hAnsi="Arial" w:cs="Arial"/>
          <w:sz w:val="24"/>
          <w:szCs w:val="24"/>
        </w:rPr>
      </w:pPr>
    </w:p>
    <w:p w14:paraId="63217DE2" w14:textId="50A7119C" w:rsidR="004F6FAF" w:rsidRPr="002369BD" w:rsidRDefault="000D3B5B"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V</w:t>
      </w:r>
      <w:r w:rsidR="004F6FAF" w:rsidRPr="002369BD">
        <w:rPr>
          <w:rFonts w:ascii="Arial" w:hAnsi="Arial" w:cs="Arial"/>
          <w:b/>
          <w:sz w:val="24"/>
          <w:szCs w:val="24"/>
        </w:rPr>
        <w:t>I</w:t>
      </w:r>
      <w:r w:rsidR="00BF25CD">
        <w:rPr>
          <w:rFonts w:ascii="Arial" w:hAnsi="Arial" w:cs="Arial"/>
          <w:b/>
          <w:sz w:val="24"/>
          <w:szCs w:val="24"/>
        </w:rPr>
        <w:t>I</w:t>
      </w:r>
      <w:r w:rsidR="00A460DD" w:rsidRPr="002369BD">
        <w:rPr>
          <w:rFonts w:ascii="Arial" w:hAnsi="Arial" w:cs="Arial"/>
          <w:b/>
          <w:sz w:val="24"/>
          <w:szCs w:val="24"/>
        </w:rPr>
        <w:t>.  DOCUMENTATION/REPORTING</w:t>
      </w:r>
      <w:r w:rsidR="004F6FAF" w:rsidRPr="002369BD">
        <w:rPr>
          <w:rFonts w:ascii="Arial" w:hAnsi="Arial" w:cs="Arial"/>
          <w:b/>
          <w:sz w:val="24"/>
          <w:szCs w:val="24"/>
        </w:rPr>
        <w:t xml:space="preserve"> </w:t>
      </w:r>
    </w:p>
    <w:p w14:paraId="25A973E5" w14:textId="36BB4758" w:rsidR="00550A0D" w:rsidRPr="002369BD" w:rsidRDefault="00572E61"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550A0D" w:rsidRPr="002369BD">
        <w:rPr>
          <w:rFonts w:ascii="Arial" w:hAnsi="Arial" w:cs="Arial"/>
          <w:sz w:val="24"/>
          <w:szCs w:val="24"/>
        </w:rPr>
        <w:t xml:space="preserve">For general recommendations on all nuclear medicine reports, see the </w:t>
      </w:r>
      <w:r w:rsidR="00550A0D" w:rsidRPr="002369BD">
        <w:rPr>
          <w:rFonts w:ascii="Arial" w:hAnsi="Arial" w:cs="Arial"/>
          <w:i/>
          <w:sz w:val="24"/>
          <w:szCs w:val="24"/>
        </w:rPr>
        <w:t>SNMMI Procedure Standard for General Imaging and the American College of Radiology Practice Guideline for Communication: Diagnostic Radiology</w:t>
      </w:r>
      <w:r w:rsidR="00550A0D" w:rsidRPr="002369BD">
        <w:rPr>
          <w:rFonts w:ascii="Arial" w:hAnsi="Arial" w:cs="Arial"/>
          <w:sz w:val="24"/>
          <w:szCs w:val="24"/>
        </w:rPr>
        <w:t>.</w:t>
      </w:r>
    </w:p>
    <w:p w14:paraId="7FAFCC7D" w14:textId="77777777" w:rsidR="00C674EE" w:rsidRPr="002369BD" w:rsidRDefault="00C674EE" w:rsidP="009028D3">
      <w:pPr>
        <w:tabs>
          <w:tab w:val="left" w:pos="360"/>
          <w:tab w:val="left" w:pos="630"/>
        </w:tabs>
        <w:spacing w:after="0" w:line="360" w:lineRule="auto"/>
        <w:jc w:val="both"/>
        <w:rPr>
          <w:rFonts w:ascii="Arial" w:hAnsi="Arial" w:cs="Arial"/>
          <w:b/>
          <w:sz w:val="24"/>
          <w:szCs w:val="24"/>
        </w:rPr>
      </w:pPr>
    </w:p>
    <w:p w14:paraId="4D5DC293" w14:textId="13AA19E3" w:rsidR="00A460DD" w:rsidRPr="002369BD" w:rsidRDefault="00A460DD"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A.  Indications</w:t>
      </w:r>
    </w:p>
    <w:p w14:paraId="7DA996D1" w14:textId="73435286" w:rsidR="00117352" w:rsidRPr="002369BD" w:rsidRDefault="00393971"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117352" w:rsidRPr="002369BD">
        <w:rPr>
          <w:rFonts w:ascii="Arial" w:hAnsi="Arial" w:cs="Arial"/>
          <w:sz w:val="24"/>
          <w:szCs w:val="24"/>
        </w:rPr>
        <w:t>The report should briefly summarize the reason for the examination, pertinent medical or surgical history, and the results of any relevant laboratory tests or prior imaging studies.</w:t>
      </w:r>
    </w:p>
    <w:p w14:paraId="50A36318" w14:textId="77777777" w:rsidR="00C674EE" w:rsidRPr="002369BD" w:rsidRDefault="00C674EE" w:rsidP="009028D3">
      <w:pPr>
        <w:tabs>
          <w:tab w:val="left" w:pos="360"/>
          <w:tab w:val="left" w:pos="630"/>
        </w:tabs>
        <w:spacing w:after="0" w:line="360" w:lineRule="auto"/>
        <w:jc w:val="both"/>
        <w:rPr>
          <w:rFonts w:ascii="Arial" w:hAnsi="Arial" w:cs="Arial"/>
          <w:b/>
          <w:sz w:val="24"/>
          <w:szCs w:val="24"/>
        </w:rPr>
      </w:pPr>
    </w:p>
    <w:p w14:paraId="6C80E83C" w14:textId="2D9F3AE6" w:rsidR="00117352" w:rsidRPr="002369BD" w:rsidRDefault="00117352"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B.  Technique</w:t>
      </w:r>
    </w:p>
    <w:p w14:paraId="514FE486" w14:textId="3EE9C8C9" w:rsidR="00117352" w:rsidRPr="002369BD" w:rsidRDefault="00393971"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117352" w:rsidRPr="002369BD">
        <w:rPr>
          <w:rFonts w:ascii="Arial" w:hAnsi="Arial" w:cs="Arial"/>
          <w:sz w:val="24"/>
          <w:szCs w:val="24"/>
        </w:rPr>
        <w:t xml:space="preserve">The report should include the name of the radiopharmaceutical administered, the dosage, and the scanning protocol. </w:t>
      </w:r>
    </w:p>
    <w:p w14:paraId="2EC0809D" w14:textId="77777777" w:rsidR="00C674EE" w:rsidRPr="002369BD" w:rsidRDefault="00C674EE" w:rsidP="009028D3">
      <w:pPr>
        <w:tabs>
          <w:tab w:val="left" w:pos="360"/>
          <w:tab w:val="left" w:pos="630"/>
        </w:tabs>
        <w:spacing w:after="0" w:line="360" w:lineRule="auto"/>
        <w:jc w:val="both"/>
        <w:rPr>
          <w:rFonts w:ascii="Arial" w:hAnsi="Arial" w:cs="Arial"/>
          <w:b/>
          <w:sz w:val="24"/>
          <w:szCs w:val="24"/>
        </w:rPr>
      </w:pPr>
    </w:p>
    <w:p w14:paraId="658D89AF" w14:textId="271D6BE2" w:rsidR="009548CC" w:rsidRPr="002369BD" w:rsidRDefault="009548CC"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C.  Findings</w:t>
      </w:r>
    </w:p>
    <w:p w14:paraId="4DB06037" w14:textId="0F8DF815" w:rsidR="004F6FAF" w:rsidRPr="002369BD" w:rsidRDefault="00393971"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9548CC" w:rsidRPr="002369BD">
        <w:rPr>
          <w:rFonts w:ascii="Arial" w:hAnsi="Arial" w:cs="Arial"/>
          <w:sz w:val="24"/>
          <w:szCs w:val="24"/>
        </w:rPr>
        <w:t>The report should include the location and character of any</w:t>
      </w:r>
      <w:r w:rsidR="00E80636" w:rsidRPr="002369BD">
        <w:rPr>
          <w:rFonts w:ascii="Arial" w:hAnsi="Arial" w:cs="Arial"/>
          <w:sz w:val="24"/>
          <w:szCs w:val="24"/>
        </w:rPr>
        <w:t xml:space="preserve"> </w:t>
      </w:r>
      <w:r w:rsidR="009548CC" w:rsidRPr="002369BD">
        <w:rPr>
          <w:rFonts w:ascii="Arial" w:hAnsi="Arial" w:cs="Arial"/>
          <w:sz w:val="24"/>
          <w:szCs w:val="24"/>
        </w:rPr>
        <w:t>abnormal uptake, comparison with the results of prior imaging studies (if pertinent or available</w:t>
      </w:r>
      <w:r w:rsidR="00B65185" w:rsidRPr="002369BD">
        <w:rPr>
          <w:rFonts w:ascii="Arial" w:hAnsi="Arial" w:cs="Arial"/>
          <w:sz w:val="24"/>
          <w:szCs w:val="24"/>
        </w:rPr>
        <w:t>)</w:t>
      </w:r>
      <w:r w:rsidR="009548CC" w:rsidRPr="002369BD">
        <w:rPr>
          <w:rFonts w:ascii="Arial" w:hAnsi="Arial" w:cs="Arial"/>
          <w:sz w:val="24"/>
          <w:szCs w:val="24"/>
        </w:rPr>
        <w:t>, and any pertinent additional CT findings (if CT was</w:t>
      </w:r>
      <w:r w:rsidR="00E80636" w:rsidRPr="002369BD">
        <w:rPr>
          <w:rFonts w:ascii="Arial" w:hAnsi="Arial" w:cs="Arial"/>
          <w:sz w:val="24"/>
          <w:szCs w:val="24"/>
        </w:rPr>
        <w:t xml:space="preserve"> </w:t>
      </w:r>
      <w:r w:rsidR="009548CC" w:rsidRPr="002369BD">
        <w:rPr>
          <w:rFonts w:ascii="Arial" w:hAnsi="Arial" w:cs="Arial"/>
          <w:sz w:val="24"/>
          <w:szCs w:val="24"/>
        </w:rPr>
        <w:t>performed with SPECT).</w:t>
      </w:r>
      <w:r w:rsidR="00962F6B" w:rsidRPr="002369BD">
        <w:rPr>
          <w:rFonts w:ascii="Arial" w:hAnsi="Arial" w:cs="Arial"/>
          <w:sz w:val="24"/>
          <w:szCs w:val="24"/>
        </w:rPr>
        <w:t xml:space="preserve">  If obtained, t</w:t>
      </w:r>
      <w:r w:rsidR="00F402C2" w:rsidRPr="002369BD">
        <w:rPr>
          <w:rFonts w:ascii="Arial" w:hAnsi="Arial" w:cs="Arial"/>
          <w:sz w:val="24"/>
          <w:szCs w:val="24"/>
        </w:rPr>
        <w:t>he quantitative 24</w:t>
      </w:r>
      <w:r w:rsidR="00A42870" w:rsidRPr="002369BD">
        <w:rPr>
          <w:rFonts w:ascii="Arial" w:hAnsi="Arial" w:cs="Arial"/>
          <w:sz w:val="24"/>
          <w:szCs w:val="24"/>
        </w:rPr>
        <w:t>-</w:t>
      </w:r>
      <w:r w:rsidR="00F402C2" w:rsidRPr="002369BD">
        <w:rPr>
          <w:rFonts w:ascii="Arial" w:hAnsi="Arial" w:cs="Arial"/>
          <w:sz w:val="24"/>
          <w:szCs w:val="24"/>
        </w:rPr>
        <w:t>h</w:t>
      </w:r>
      <w:r w:rsidR="00354924" w:rsidRPr="002369BD">
        <w:rPr>
          <w:rFonts w:ascii="Arial" w:hAnsi="Arial" w:cs="Arial"/>
          <w:sz w:val="24"/>
          <w:szCs w:val="24"/>
        </w:rPr>
        <w:t>our</w:t>
      </w:r>
      <w:r w:rsidR="00F402C2" w:rsidRPr="002369BD">
        <w:rPr>
          <w:rFonts w:ascii="Arial" w:hAnsi="Arial" w:cs="Arial"/>
          <w:sz w:val="24"/>
          <w:szCs w:val="24"/>
        </w:rPr>
        <w:t xml:space="preserve"> 123I</w:t>
      </w:r>
      <w:r w:rsidR="00517E87" w:rsidRPr="002369BD">
        <w:rPr>
          <w:rFonts w:ascii="Arial" w:hAnsi="Arial" w:cs="Arial"/>
          <w:sz w:val="24"/>
          <w:szCs w:val="24"/>
        </w:rPr>
        <w:t xml:space="preserve"> NaI</w:t>
      </w:r>
      <w:r w:rsidR="00F402C2" w:rsidRPr="002369BD">
        <w:rPr>
          <w:rFonts w:ascii="Arial" w:hAnsi="Arial" w:cs="Arial"/>
          <w:sz w:val="24"/>
          <w:szCs w:val="24"/>
        </w:rPr>
        <w:t xml:space="preserve">/131I </w:t>
      </w:r>
      <w:r w:rsidR="00517E87" w:rsidRPr="002369BD">
        <w:rPr>
          <w:rFonts w:ascii="Arial" w:hAnsi="Arial" w:cs="Arial"/>
          <w:sz w:val="24"/>
          <w:szCs w:val="24"/>
        </w:rPr>
        <w:t xml:space="preserve">NaI </w:t>
      </w:r>
      <w:r w:rsidR="00F402C2" w:rsidRPr="002369BD">
        <w:rPr>
          <w:rFonts w:ascii="Arial" w:hAnsi="Arial" w:cs="Arial"/>
          <w:sz w:val="24"/>
          <w:szCs w:val="24"/>
        </w:rPr>
        <w:t>uptake value</w:t>
      </w:r>
      <w:r w:rsidR="00A42870" w:rsidRPr="002369BD">
        <w:rPr>
          <w:rFonts w:ascii="Arial" w:hAnsi="Arial" w:cs="Arial"/>
          <w:sz w:val="24"/>
          <w:szCs w:val="24"/>
        </w:rPr>
        <w:t xml:space="preserve"> </w:t>
      </w:r>
      <w:r w:rsidR="00962F6B" w:rsidRPr="002369BD">
        <w:rPr>
          <w:rFonts w:ascii="Arial" w:hAnsi="Arial" w:cs="Arial"/>
          <w:sz w:val="24"/>
          <w:szCs w:val="24"/>
        </w:rPr>
        <w:t xml:space="preserve">should also be reported along with a </w:t>
      </w:r>
      <w:r w:rsidR="004F6FAF" w:rsidRPr="002369BD">
        <w:rPr>
          <w:rFonts w:ascii="Arial" w:hAnsi="Arial" w:cs="Arial"/>
          <w:sz w:val="24"/>
          <w:szCs w:val="24"/>
        </w:rPr>
        <w:t xml:space="preserve">qualitative estimate of the size, activity, </w:t>
      </w:r>
      <w:r w:rsidR="00D12697" w:rsidRPr="002369BD">
        <w:rPr>
          <w:rFonts w:ascii="Arial" w:hAnsi="Arial" w:cs="Arial"/>
          <w:sz w:val="24"/>
          <w:szCs w:val="24"/>
        </w:rPr>
        <w:t>a</w:t>
      </w:r>
      <w:r w:rsidR="004F6FAF" w:rsidRPr="002369BD">
        <w:rPr>
          <w:rFonts w:ascii="Arial" w:hAnsi="Arial" w:cs="Arial"/>
          <w:sz w:val="24"/>
          <w:szCs w:val="24"/>
        </w:rPr>
        <w:t xml:space="preserve">nd location of any areas of uptake that correspond to any functioning normal or abnormal thyroid tissue. </w:t>
      </w:r>
      <w:r w:rsidR="00962F6B" w:rsidRPr="002369BD">
        <w:rPr>
          <w:rFonts w:ascii="Arial" w:hAnsi="Arial" w:cs="Arial"/>
          <w:sz w:val="24"/>
          <w:szCs w:val="24"/>
        </w:rPr>
        <w:t xml:space="preserve"> </w:t>
      </w:r>
    </w:p>
    <w:p w14:paraId="2F52B9AE" w14:textId="77777777" w:rsidR="00C674EE" w:rsidRPr="002369BD" w:rsidRDefault="00C674EE" w:rsidP="009028D3">
      <w:pPr>
        <w:tabs>
          <w:tab w:val="left" w:pos="360"/>
          <w:tab w:val="left" w:pos="630"/>
        </w:tabs>
        <w:spacing w:after="0" w:line="360" w:lineRule="auto"/>
        <w:jc w:val="both"/>
        <w:rPr>
          <w:rFonts w:ascii="Arial" w:hAnsi="Arial" w:cs="Arial"/>
          <w:b/>
          <w:sz w:val="24"/>
          <w:szCs w:val="24"/>
        </w:rPr>
      </w:pPr>
    </w:p>
    <w:p w14:paraId="0824D5D4" w14:textId="2A12D3C3" w:rsidR="002338FB" w:rsidRPr="002369BD" w:rsidRDefault="002338FB"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D.  Impression</w:t>
      </w:r>
    </w:p>
    <w:p w14:paraId="06539F27" w14:textId="6A7FACB4" w:rsidR="002338FB" w:rsidRPr="002369BD" w:rsidRDefault="000E542E"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2338FB" w:rsidRPr="002369BD">
        <w:rPr>
          <w:rFonts w:ascii="Arial" w:hAnsi="Arial" w:cs="Arial"/>
          <w:sz w:val="24"/>
          <w:szCs w:val="24"/>
        </w:rPr>
        <w:t>The impression should include conclusions, diagnoses, or differential diagnoses to answer questions posed by the referring clinician or team or to answer any unexpected findings, any recommendations for further work-up</w:t>
      </w:r>
      <w:r w:rsidR="00133D89" w:rsidRPr="002369BD">
        <w:rPr>
          <w:rFonts w:ascii="Arial" w:hAnsi="Arial" w:cs="Arial"/>
          <w:sz w:val="24"/>
          <w:szCs w:val="24"/>
        </w:rPr>
        <w:t>.</w:t>
      </w:r>
    </w:p>
    <w:p w14:paraId="1F9167EE" w14:textId="77777777" w:rsidR="004F6FAF" w:rsidRPr="002369BD" w:rsidRDefault="004F6FAF" w:rsidP="009028D3">
      <w:pPr>
        <w:tabs>
          <w:tab w:val="left" w:pos="360"/>
          <w:tab w:val="left" w:pos="630"/>
        </w:tabs>
        <w:spacing w:after="0" w:line="360" w:lineRule="auto"/>
        <w:jc w:val="both"/>
        <w:rPr>
          <w:rFonts w:ascii="Arial" w:hAnsi="Arial" w:cs="Arial"/>
          <w:sz w:val="24"/>
          <w:szCs w:val="24"/>
        </w:rPr>
      </w:pPr>
    </w:p>
    <w:p w14:paraId="27067519" w14:textId="345B5C93" w:rsidR="00187890" w:rsidRDefault="007D11A3"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VI</w:t>
      </w:r>
      <w:r w:rsidR="00BF25CD">
        <w:rPr>
          <w:rFonts w:ascii="Arial" w:hAnsi="Arial" w:cs="Arial"/>
          <w:b/>
          <w:sz w:val="24"/>
          <w:szCs w:val="24"/>
        </w:rPr>
        <w:t>I</w:t>
      </w:r>
      <w:r w:rsidRPr="002369BD">
        <w:rPr>
          <w:rFonts w:ascii="Arial" w:hAnsi="Arial" w:cs="Arial"/>
          <w:b/>
          <w:sz w:val="24"/>
          <w:szCs w:val="24"/>
        </w:rPr>
        <w:t>I</w:t>
      </w:r>
      <w:r w:rsidR="00187890" w:rsidRPr="002369BD">
        <w:rPr>
          <w:rFonts w:ascii="Arial" w:hAnsi="Arial" w:cs="Arial"/>
          <w:b/>
          <w:sz w:val="24"/>
          <w:szCs w:val="24"/>
        </w:rPr>
        <w:t>.</w:t>
      </w:r>
      <w:r w:rsidRPr="002369BD">
        <w:rPr>
          <w:rFonts w:ascii="Arial" w:hAnsi="Arial" w:cs="Arial"/>
          <w:b/>
          <w:sz w:val="24"/>
          <w:szCs w:val="24"/>
        </w:rPr>
        <w:t xml:space="preserve">  QUALITY CONTROL AND IMPROVEMENT</w:t>
      </w:r>
      <w:r w:rsidR="00187890" w:rsidRPr="002369BD">
        <w:rPr>
          <w:rFonts w:ascii="Arial" w:hAnsi="Arial" w:cs="Arial"/>
          <w:b/>
          <w:sz w:val="24"/>
          <w:szCs w:val="24"/>
        </w:rPr>
        <w:t xml:space="preserve"> </w:t>
      </w:r>
    </w:p>
    <w:p w14:paraId="73F4D42E" w14:textId="77777777" w:rsidR="000A41E7" w:rsidRPr="002369BD" w:rsidRDefault="000A41E7" w:rsidP="009028D3">
      <w:pPr>
        <w:tabs>
          <w:tab w:val="left" w:pos="360"/>
          <w:tab w:val="left" w:pos="630"/>
        </w:tabs>
        <w:spacing w:after="0" w:line="360" w:lineRule="auto"/>
        <w:jc w:val="both"/>
        <w:rPr>
          <w:rFonts w:ascii="Arial" w:hAnsi="Arial" w:cs="Arial"/>
          <w:b/>
          <w:sz w:val="24"/>
          <w:szCs w:val="24"/>
        </w:rPr>
      </w:pPr>
    </w:p>
    <w:p w14:paraId="31A118E5" w14:textId="127CEE89" w:rsidR="007D11A3" w:rsidRDefault="000E542E"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7D11A3" w:rsidRPr="002369BD">
        <w:rPr>
          <w:rFonts w:ascii="Arial" w:hAnsi="Arial" w:cs="Arial"/>
          <w:sz w:val="24"/>
          <w:szCs w:val="24"/>
        </w:rPr>
        <w:t>See the SNMMI Procedure Standard for General Imaging for general recommendations.</w:t>
      </w:r>
    </w:p>
    <w:p w14:paraId="5DD7C121" w14:textId="77777777" w:rsidR="000A41E7" w:rsidRPr="002369BD" w:rsidRDefault="000A41E7" w:rsidP="009028D3">
      <w:pPr>
        <w:tabs>
          <w:tab w:val="left" w:pos="360"/>
          <w:tab w:val="left" w:pos="630"/>
        </w:tabs>
        <w:spacing w:after="0" w:line="360" w:lineRule="auto"/>
        <w:jc w:val="both"/>
        <w:rPr>
          <w:rFonts w:ascii="Arial" w:hAnsi="Arial" w:cs="Arial"/>
          <w:sz w:val="24"/>
          <w:szCs w:val="24"/>
        </w:rPr>
      </w:pPr>
    </w:p>
    <w:p w14:paraId="751B314F" w14:textId="361E283D" w:rsidR="00F9794B" w:rsidRPr="002369BD" w:rsidRDefault="00F54681" w:rsidP="009028D3">
      <w:pPr>
        <w:pStyle w:val="ListParagraph"/>
        <w:numPr>
          <w:ilvl w:val="0"/>
          <w:numId w:val="1"/>
        </w:numPr>
        <w:tabs>
          <w:tab w:val="left" w:pos="360"/>
          <w:tab w:val="left" w:pos="630"/>
        </w:tabs>
        <w:spacing w:after="0" w:line="360" w:lineRule="auto"/>
        <w:ind w:left="0" w:firstLine="0"/>
        <w:jc w:val="both"/>
        <w:rPr>
          <w:rFonts w:ascii="Arial" w:hAnsi="Arial" w:cs="Arial"/>
          <w:b/>
          <w:bCs/>
          <w:sz w:val="24"/>
          <w:szCs w:val="24"/>
        </w:rPr>
      </w:pPr>
      <w:r w:rsidRPr="002369BD">
        <w:rPr>
          <w:rFonts w:ascii="Arial" w:hAnsi="Arial" w:cs="Arial"/>
          <w:b/>
          <w:bCs/>
          <w:sz w:val="24"/>
          <w:szCs w:val="24"/>
        </w:rPr>
        <w:t>Possible Sources of Error</w:t>
      </w:r>
      <w:r w:rsidR="00F9794B" w:rsidRPr="002369BD">
        <w:rPr>
          <w:rFonts w:ascii="Arial" w:hAnsi="Arial" w:cs="Arial"/>
          <w:b/>
          <w:bCs/>
          <w:sz w:val="24"/>
          <w:szCs w:val="24"/>
        </w:rPr>
        <w:t xml:space="preserve"> </w:t>
      </w:r>
    </w:p>
    <w:p w14:paraId="34F04427" w14:textId="7F5A2AF9" w:rsidR="00F9794B" w:rsidRPr="002369BD" w:rsidRDefault="00F9794B" w:rsidP="00232BDE">
      <w:pPr>
        <w:pStyle w:val="ListParagraph"/>
        <w:numPr>
          <w:ilvl w:val="0"/>
          <w:numId w:val="16"/>
        </w:numPr>
        <w:tabs>
          <w:tab w:val="left" w:pos="360"/>
          <w:tab w:val="left" w:pos="630"/>
        </w:tabs>
        <w:spacing w:after="0" w:line="240" w:lineRule="auto"/>
        <w:jc w:val="both"/>
        <w:rPr>
          <w:rFonts w:ascii="Arial" w:hAnsi="Arial" w:cs="Arial"/>
          <w:sz w:val="24"/>
          <w:szCs w:val="24"/>
        </w:rPr>
      </w:pPr>
      <w:r w:rsidRPr="002369BD">
        <w:rPr>
          <w:rFonts w:ascii="Arial" w:hAnsi="Arial" w:cs="Arial"/>
          <w:sz w:val="24"/>
          <w:szCs w:val="24"/>
        </w:rPr>
        <w:t xml:space="preserve">Local contamination (clothing, </w:t>
      </w:r>
      <w:r w:rsidR="00104364" w:rsidRPr="002369BD">
        <w:rPr>
          <w:rFonts w:ascii="Arial" w:hAnsi="Arial" w:cs="Arial"/>
          <w:sz w:val="24"/>
          <w:szCs w:val="24"/>
        </w:rPr>
        <w:t>s</w:t>
      </w:r>
      <w:r w:rsidRPr="002369BD">
        <w:rPr>
          <w:rFonts w:ascii="Arial" w:hAnsi="Arial" w:cs="Arial"/>
          <w:sz w:val="24"/>
          <w:szCs w:val="24"/>
        </w:rPr>
        <w:t xml:space="preserve">kin, hair, collimator, imaging table) </w:t>
      </w:r>
    </w:p>
    <w:p w14:paraId="0073590C" w14:textId="412F81BA" w:rsidR="00F9794B" w:rsidRPr="002369BD" w:rsidRDefault="00F9794B" w:rsidP="00232BDE">
      <w:pPr>
        <w:pStyle w:val="ListParagraph"/>
        <w:numPr>
          <w:ilvl w:val="0"/>
          <w:numId w:val="16"/>
        </w:numPr>
        <w:tabs>
          <w:tab w:val="left" w:pos="360"/>
          <w:tab w:val="left" w:pos="630"/>
        </w:tabs>
        <w:spacing w:after="0" w:line="240" w:lineRule="auto"/>
        <w:jc w:val="both"/>
        <w:rPr>
          <w:rFonts w:ascii="Arial" w:hAnsi="Arial" w:cs="Arial"/>
          <w:sz w:val="24"/>
          <w:szCs w:val="24"/>
        </w:rPr>
      </w:pPr>
      <w:r w:rsidRPr="002369BD">
        <w:rPr>
          <w:rFonts w:ascii="Arial" w:hAnsi="Arial" w:cs="Arial"/>
          <w:sz w:val="24"/>
          <w:szCs w:val="24"/>
        </w:rPr>
        <w:t xml:space="preserve">Esophageal activity </w:t>
      </w:r>
    </w:p>
    <w:p w14:paraId="02A78F5D" w14:textId="56908C5E" w:rsidR="00F9794B" w:rsidRPr="002369BD" w:rsidRDefault="00F9794B" w:rsidP="00232BDE">
      <w:pPr>
        <w:pStyle w:val="ListParagraph"/>
        <w:numPr>
          <w:ilvl w:val="0"/>
          <w:numId w:val="16"/>
        </w:numPr>
        <w:tabs>
          <w:tab w:val="left" w:pos="360"/>
          <w:tab w:val="left" w:pos="630"/>
        </w:tabs>
        <w:spacing w:after="0" w:line="240" w:lineRule="auto"/>
        <w:jc w:val="both"/>
        <w:rPr>
          <w:rFonts w:ascii="Arial" w:hAnsi="Arial" w:cs="Arial"/>
          <w:sz w:val="24"/>
          <w:szCs w:val="24"/>
        </w:rPr>
      </w:pPr>
      <w:r w:rsidRPr="002369BD">
        <w:rPr>
          <w:rFonts w:ascii="Arial" w:hAnsi="Arial" w:cs="Arial"/>
          <w:sz w:val="24"/>
          <w:szCs w:val="24"/>
        </w:rPr>
        <w:t xml:space="preserve">Asymmetric salivary gland </w:t>
      </w:r>
      <w:r w:rsidR="00750938" w:rsidRPr="002369BD">
        <w:rPr>
          <w:rFonts w:ascii="Arial" w:hAnsi="Arial" w:cs="Arial"/>
          <w:sz w:val="24"/>
          <w:szCs w:val="24"/>
        </w:rPr>
        <w:t>u</w:t>
      </w:r>
      <w:r w:rsidRPr="002369BD">
        <w:rPr>
          <w:rFonts w:ascii="Arial" w:hAnsi="Arial" w:cs="Arial"/>
          <w:sz w:val="24"/>
          <w:szCs w:val="24"/>
        </w:rPr>
        <w:t xml:space="preserve">ptake </w:t>
      </w:r>
    </w:p>
    <w:p w14:paraId="639F1087" w14:textId="0265DD26" w:rsidR="005877E9" w:rsidRPr="002369BD" w:rsidRDefault="00F9794B" w:rsidP="00232BDE">
      <w:pPr>
        <w:pStyle w:val="ListParagraph"/>
        <w:numPr>
          <w:ilvl w:val="0"/>
          <w:numId w:val="16"/>
        </w:numPr>
        <w:tabs>
          <w:tab w:val="left" w:pos="360"/>
          <w:tab w:val="left" w:pos="630"/>
        </w:tabs>
        <w:spacing w:after="0" w:line="240" w:lineRule="auto"/>
        <w:jc w:val="both"/>
        <w:rPr>
          <w:rFonts w:ascii="Arial" w:hAnsi="Arial" w:cs="Arial"/>
          <w:sz w:val="24"/>
          <w:szCs w:val="24"/>
        </w:rPr>
      </w:pPr>
      <w:r w:rsidRPr="002369BD">
        <w:rPr>
          <w:rFonts w:ascii="Arial" w:hAnsi="Arial" w:cs="Arial"/>
          <w:sz w:val="24"/>
          <w:szCs w:val="24"/>
        </w:rPr>
        <w:t>Breast uptake</w:t>
      </w:r>
    </w:p>
    <w:p w14:paraId="40250D32" w14:textId="18E1BCF8" w:rsidR="005877E9" w:rsidRPr="002369BD" w:rsidRDefault="005877E9" w:rsidP="00232BDE">
      <w:pPr>
        <w:pStyle w:val="ListParagraph"/>
        <w:numPr>
          <w:ilvl w:val="0"/>
          <w:numId w:val="16"/>
        </w:numPr>
        <w:tabs>
          <w:tab w:val="left" w:pos="360"/>
          <w:tab w:val="left" w:pos="630"/>
        </w:tabs>
        <w:spacing w:after="0" w:line="240" w:lineRule="auto"/>
        <w:jc w:val="both"/>
        <w:rPr>
          <w:rFonts w:ascii="Arial" w:hAnsi="Arial" w:cs="Arial"/>
          <w:sz w:val="24"/>
          <w:szCs w:val="24"/>
        </w:rPr>
      </w:pPr>
      <w:r w:rsidRPr="002369BD">
        <w:rPr>
          <w:rFonts w:ascii="Arial" w:hAnsi="Arial" w:cs="Arial"/>
          <w:sz w:val="24"/>
          <w:szCs w:val="24"/>
        </w:rPr>
        <w:t>Thymic uptake</w:t>
      </w:r>
    </w:p>
    <w:p w14:paraId="79052E2F" w14:textId="271B387C" w:rsidR="00875E98" w:rsidRPr="002369BD" w:rsidRDefault="00AC021F" w:rsidP="00232BDE">
      <w:pPr>
        <w:pStyle w:val="ListParagraph"/>
        <w:numPr>
          <w:ilvl w:val="0"/>
          <w:numId w:val="16"/>
        </w:numPr>
        <w:tabs>
          <w:tab w:val="left" w:pos="360"/>
          <w:tab w:val="left" w:pos="630"/>
        </w:tabs>
        <w:spacing w:after="0" w:line="240" w:lineRule="auto"/>
        <w:jc w:val="both"/>
        <w:rPr>
          <w:rFonts w:ascii="Arial" w:hAnsi="Arial" w:cs="Arial"/>
          <w:sz w:val="24"/>
          <w:szCs w:val="24"/>
        </w:rPr>
      </w:pPr>
      <w:r w:rsidRPr="002369BD">
        <w:rPr>
          <w:rFonts w:ascii="Arial" w:hAnsi="Arial" w:cs="Arial"/>
          <w:sz w:val="24"/>
          <w:szCs w:val="24"/>
        </w:rPr>
        <w:t>Ectopic thyroid tissue</w:t>
      </w:r>
    </w:p>
    <w:p w14:paraId="02BEDA47" w14:textId="5A52B4FA" w:rsidR="00AC021F" w:rsidRPr="002369BD" w:rsidRDefault="00AC021F" w:rsidP="00232BDE">
      <w:pPr>
        <w:pStyle w:val="ListParagraph"/>
        <w:numPr>
          <w:ilvl w:val="0"/>
          <w:numId w:val="16"/>
        </w:numPr>
        <w:tabs>
          <w:tab w:val="left" w:pos="360"/>
          <w:tab w:val="left" w:pos="630"/>
        </w:tabs>
        <w:spacing w:after="0" w:line="240" w:lineRule="auto"/>
        <w:jc w:val="both"/>
        <w:rPr>
          <w:rFonts w:ascii="Arial" w:hAnsi="Arial" w:cs="Arial"/>
          <w:sz w:val="24"/>
          <w:szCs w:val="24"/>
        </w:rPr>
      </w:pPr>
      <w:r w:rsidRPr="002369BD">
        <w:rPr>
          <w:rFonts w:ascii="Arial" w:hAnsi="Arial" w:cs="Arial"/>
          <w:sz w:val="24"/>
          <w:szCs w:val="24"/>
        </w:rPr>
        <w:t>Uptake by non-thyroid neoplasms</w:t>
      </w:r>
    </w:p>
    <w:p w14:paraId="0FD57AB5" w14:textId="73FC54D0" w:rsidR="00651C6F" w:rsidRDefault="00BE3329" w:rsidP="00232BDE">
      <w:pPr>
        <w:pStyle w:val="ListParagraph"/>
        <w:numPr>
          <w:ilvl w:val="0"/>
          <w:numId w:val="16"/>
        </w:numPr>
        <w:tabs>
          <w:tab w:val="left" w:pos="360"/>
          <w:tab w:val="left" w:pos="630"/>
        </w:tabs>
        <w:spacing w:after="0" w:line="240" w:lineRule="auto"/>
        <w:jc w:val="both"/>
        <w:rPr>
          <w:rFonts w:ascii="Arial" w:hAnsi="Arial" w:cs="Arial"/>
          <w:sz w:val="24"/>
          <w:szCs w:val="24"/>
        </w:rPr>
      </w:pPr>
      <w:r w:rsidRPr="002369BD">
        <w:rPr>
          <w:rFonts w:ascii="Arial" w:hAnsi="Arial" w:cs="Arial"/>
          <w:sz w:val="24"/>
          <w:szCs w:val="24"/>
        </w:rPr>
        <w:t>Inadequate patient preparation</w:t>
      </w:r>
    </w:p>
    <w:p w14:paraId="324EB65C" w14:textId="77777777" w:rsidR="000A41E7" w:rsidRPr="002369BD" w:rsidRDefault="000A41E7" w:rsidP="002369BD">
      <w:pPr>
        <w:pStyle w:val="ListParagraph"/>
        <w:tabs>
          <w:tab w:val="left" w:pos="360"/>
          <w:tab w:val="left" w:pos="630"/>
        </w:tabs>
        <w:spacing w:after="0" w:line="240" w:lineRule="auto"/>
        <w:jc w:val="both"/>
        <w:rPr>
          <w:rFonts w:ascii="Arial" w:hAnsi="Arial" w:cs="Arial"/>
          <w:sz w:val="24"/>
          <w:szCs w:val="24"/>
        </w:rPr>
      </w:pPr>
    </w:p>
    <w:p w14:paraId="1F07C585" w14:textId="08313844" w:rsidR="003E01EB" w:rsidRPr="002369BD" w:rsidRDefault="003E01EB" w:rsidP="009028D3">
      <w:pPr>
        <w:tabs>
          <w:tab w:val="left" w:pos="360"/>
          <w:tab w:val="left" w:pos="630"/>
        </w:tabs>
        <w:spacing w:after="0" w:line="360" w:lineRule="auto"/>
        <w:jc w:val="both"/>
        <w:rPr>
          <w:rFonts w:ascii="Arial" w:hAnsi="Arial" w:cs="Arial"/>
          <w:sz w:val="24"/>
          <w:szCs w:val="24"/>
        </w:rPr>
      </w:pPr>
    </w:p>
    <w:p w14:paraId="63483DFA" w14:textId="0613FD7E" w:rsidR="003E01EB" w:rsidRDefault="00BF25CD" w:rsidP="009028D3">
      <w:pPr>
        <w:tabs>
          <w:tab w:val="left" w:pos="360"/>
          <w:tab w:val="left" w:pos="630"/>
        </w:tabs>
        <w:spacing w:after="0" w:line="360" w:lineRule="auto"/>
        <w:jc w:val="both"/>
        <w:rPr>
          <w:rFonts w:ascii="Arial" w:hAnsi="Arial" w:cs="Arial"/>
          <w:b/>
          <w:sz w:val="24"/>
          <w:szCs w:val="24"/>
        </w:rPr>
      </w:pPr>
      <w:r>
        <w:rPr>
          <w:rFonts w:ascii="Arial" w:hAnsi="Arial" w:cs="Arial"/>
          <w:b/>
          <w:sz w:val="24"/>
          <w:szCs w:val="24"/>
        </w:rPr>
        <w:lastRenderedPageBreak/>
        <w:t>IX</w:t>
      </w:r>
      <w:r w:rsidR="003E01EB" w:rsidRPr="002369BD">
        <w:rPr>
          <w:rFonts w:ascii="Arial" w:hAnsi="Arial" w:cs="Arial"/>
          <w:b/>
          <w:sz w:val="24"/>
          <w:szCs w:val="24"/>
        </w:rPr>
        <w:t>. SAFETY, INFECTION CONTROL, AND PATIENT EDUCATION CONCERNS</w:t>
      </w:r>
    </w:p>
    <w:p w14:paraId="0D5AEB2A" w14:textId="77777777" w:rsidR="000A41E7" w:rsidRPr="002369BD" w:rsidRDefault="000A41E7" w:rsidP="009028D3">
      <w:pPr>
        <w:tabs>
          <w:tab w:val="left" w:pos="360"/>
          <w:tab w:val="left" w:pos="630"/>
        </w:tabs>
        <w:spacing w:after="0" w:line="360" w:lineRule="auto"/>
        <w:jc w:val="both"/>
        <w:rPr>
          <w:rFonts w:ascii="Arial" w:hAnsi="Arial" w:cs="Arial"/>
          <w:b/>
          <w:sz w:val="24"/>
          <w:szCs w:val="24"/>
        </w:rPr>
      </w:pPr>
    </w:p>
    <w:p w14:paraId="561DE6D7" w14:textId="06F81A8F" w:rsidR="003E01EB" w:rsidRPr="002369BD" w:rsidRDefault="000E542E"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3E01EB" w:rsidRPr="002369BD">
        <w:rPr>
          <w:rFonts w:ascii="Arial" w:hAnsi="Arial" w:cs="Arial"/>
          <w:sz w:val="24"/>
          <w:szCs w:val="24"/>
        </w:rPr>
        <w:t>See the SNMMI Procedure Standard for General Imaging for general recommendations.</w:t>
      </w:r>
    </w:p>
    <w:p w14:paraId="771F973E" w14:textId="77777777" w:rsidR="000E542E" w:rsidRPr="002369BD" w:rsidRDefault="000E542E" w:rsidP="009028D3">
      <w:pPr>
        <w:tabs>
          <w:tab w:val="left" w:pos="360"/>
          <w:tab w:val="left" w:pos="630"/>
        </w:tabs>
        <w:spacing w:after="0" w:line="360" w:lineRule="auto"/>
        <w:jc w:val="both"/>
        <w:rPr>
          <w:rFonts w:ascii="Arial" w:hAnsi="Arial" w:cs="Arial"/>
          <w:sz w:val="24"/>
          <w:szCs w:val="24"/>
        </w:rPr>
      </w:pPr>
    </w:p>
    <w:p w14:paraId="2692881B" w14:textId="47F07961" w:rsidR="006E4639" w:rsidRDefault="006E4639"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X. RADIATION SAFETY IN IMAGING</w:t>
      </w:r>
    </w:p>
    <w:p w14:paraId="4CD38803" w14:textId="77777777" w:rsidR="000A41E7" w:rsidRPr="002369BD" w:rsidRDefault="000A41E7" w:rsidP="009028D3">
      <w:pPr>
        <w:tabs>
          <w:tab w:val="left" w:pos="360"/>
          <w:tab w:val="left" w:pos="630"/>
        </w:tabs>
        <w:spacing w:after="0" w:line="360" w:lineRule="auto"/>
        <w:jc w:val="both"/>
        <w:rPr>
          <w:rFonts w:ascii="Arial" w:hAnsi="Arial" w:cs="Arial"/>
          <w:b/>
          <w:sz w:val="24"/>
          <w:szCs w:val="24"/>
        </w:rPr>
      </w:pPr>
    </w:p>
    <w:p w14:paraId="71D99D35" w14:textId="77777777" w:rsidR="002824D9" w:rsidRPr="002369BD" w:rsidRDefault="000E542E"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6E4639" w:rsidRPr="002369BD">
        <w:rPr>
          <w:rFonts w:ascii="Arial" w:hAnsi="Arial" w:cs="Arial"/>
          <w:sz w:val="24"/>
          <w:szCs w:val="24"/>
        </w:rPr>
        <w:t>See the SNMMI Procedure Standard for General Imaging for general recommendations.  It is the position of SNMMI that exposure to ionizing</w:t>
      </w:r>
      <w:r w:rsidRPr="002369BD">
        <w:rPr>
          <w:rFonts w:ascii="Arial" w:hAnsi="Arial" w:cs="Arial"/>
          <w:sz w:val="24"/>
          <w:szCs w:val="24"/>
        </w:rPr>
        <w:t xml:space="preserve"> </w:t>
      </w:r>
      <w:r w:rsidR="006E4639" w:rsidRPr="002369BD">
        <w:rPr>
          <w:rFonts w:ascii="Arial" w:hAnsi="Arial" w:cs="Arial"/>
          <w:sz w:val="24"/>
          <w:szCs w:val="24"/>
        </w:rPr>
        <w:t xml:space="preserve">radiation should be at the minimum level (ALARA - as low as reasonably achievable) needed to obtain a diagnostic examination.  Radiation dosimetry for adults is presented in Table </w:t>
      </w:r>
      <w:r w:rsidR="00CD33B8" w:rsidRPr="002369BD">
        <w:rPr>
          <w:rFonts w:ascii="Arial" w:hAnsi="Arial" w:cs="Arial"/>
          <w:sz w:val="24"/>
          <w:szCs w:val="24"/>
        </w:rPr>
        <w:t>2</w:t>
      </w:r>
      <w:r w:rsidR="006E4639" w:rsidRPr="002369BD">
        <w:rPr>
          <w:rFonts w:ascii="Arial" w:hAnsi="Arial" w:cs="Arial"/>
          <w:sz w:val="24"/>
          <w:szCs w:val="24"/>
        </w:rPr>
        <w:t>.</w:t>
      </w:r>
      <w:r w:rsidR="000B46C5" w:rsidRPr="002369BD">
        <w:rPr>
          <w:rFonts w:ascii="Arial" w:hAnsi="Arial" w:cs="Arial"/>
          <w:sz w:val="24"/>
          <w:szCs w:val="24"/>
        </w:rPr>
        <w:tab/>
      </w:r>
    </w:p>
    <w:p w14:paraId="3E1702BC" w14:textId="77777777" w:rsidR="002824D9" w:rsidRPr="002369BD" w:rsidRDefault="002824D9" w:rsidP="009028D3">
      <w:pPr>
        <w:tabs>
          <w:tab w:val="left" w:pos="360"/>
          <w:tab w:val="left" w:pos="630"/>
        </w:tabs>
        <w:spacing w:after="0" w:line="360" w:lineRule="auto"/>
        <w:jc w:val="both"/>
        <w:rPr>
          <w:rFonts w:ascii="Arial" w:hAnsi="Arial" w:cs="Arial"/>
          <w:sz w:val="24"/>
          <w:szCs w:val="24"/>
        </w:rPr>
      </w:pPr>
    </w:p>
    <w:p w14:paraId="237B4DBD" w14:textId="77777777" w:rsidR="000B46C5" w:rsidRPr="002369BD" w:rsidRDefault="000B46C5" w:rsidP="009028D3">
      <w:pPr>
        <w:tabs>
          <w:tab w:val="left" w:pos="360"/>
          <w:tab w:val="left" w:pos="630"/>
        </w:tabs>
        <w:spacing w:after="0" w:line="360" w:lineRule="auto"/>
        <w:jc w:val="both"/>
        <w:rPr>
          <w:rFonts w:ascii="Arial" w:hAnsi="Arial" w:cs="Arial"/>
          <w:b/>
          <w:sz w:val="24"/>
          <w:szCs w:val="24"/>
        </w:rPr>
      </w:pPr>
      <w:bookmarkStart w:id="3" w:name="page4"/>
      <w:bookmarkStart w:id="4" w:name="page5"/>
      <w:bookmarkEnd w:id="3"/>
      <w:bookmarkEnd w:id="4"/>
    </w:p>
    <w:p w14:paraId="10C72863" w14:textId="77777777" w:rsidR="00CF38F9" w:rsidRPr="002369BD" w:rsidRDefault="00CF38F9" w:rsidP="009028D3">
      <w:pPr>
        <w:tabs>
          <w:tab w:val="left" w:pos="360"/>
          <w:tab w:val="left" w:pos="630"/>
        </w:tabs>
        <w:spacing w:after="0" w:line="360" w:lineRule="auto"/>
        <w:jc w:val="both"/>
        <w:rPr>
          <w:rFonts w:ascii="Arial" w:hAnsi="Arial" w:cs="Arial"/>
          <w:b/>
          <w:sz w:val="24"/>
          <w:szCs w:val="24"/>
        </w:rPr>
        <w:sectPr w:rsidR="00CF38F9" w:rsidRPr="002369BD" w:rsidSect="00F354FE">
          <w:type w:val="continuous"/>
          <w:pgSz w:w="12240" w:h="15840"/>
          <w:pgMar w:top="1440" w:right="1440" w:bottom="1440" w:left="1440" w:header="720" w:footer="720" w:gutter="0"/>
          <w:cols w:space="720"/>
          <w:noEndnote/>
          <w:docGrid w:linePitch="299"/>
        </w:sectPr>
      </w:pPr>
    </w:p>
    <w:p w14:paraId="5A410A39" w14:textId="6F6D5753" w:rsidR="006E4639" w:rsidRPr="002369BD" w:rsidRDefault="006E4639"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X</w:t>
      </w:r>
      <w:r w:rsidR="00BF25CD">
        <w:rPr>
          <w:rFonts w:ascii="Arial" w:hAnsi="Arial" w:cs="Arial"/>
          <w:b/>
          <w:sz w:val="24"/>
          <w:szCs w:val="24"/>
        </w:rPr>
        <w:t>I</w:t>
      </w:r>
      <w:r w:rsidRPr="002369BD">
        <w:rPr>
          <w:rFonts w:ascii="Arial" w:hAnsi="Arial" w:cs="Arial"/>
          <w:b/>
          <w:sz w:val="24"/>
          <w:szCs w:val="24"/>
        </w:rPr>
        <w:t>.  ACKNOWLEDGEMENTS</w:t>
      </w:r>
    </w:p>
    <w:p w14:paraId="60600263" w14:textId="77777777" w:rsidR="000A41E7" w:rsidRDefault="000B46C5"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6E4639" w:rsidRPr="002369BD">
        <w:rPr>
          <w:rFonts w:ascii="Arial" w:hAnsi="Arial" w:cs="Arial"/>
          <w:sz w:val="24"/>
          <w:szCs w:val="24"/>
        </w:rPr>
        <w:t>The Committee on SNMMI Procedure Standards consists of the following individuals: ……………</w:t>
      </w:r>
      <w:proofErr w:type="gramStart"/>
      <w:r w:rsidR="006E4639" w:rsidRPr="002369BD">
        <w:rPr>
          <w:rFonts w:ascii="Arial" w:hAnsi="Arial" w:cs="Arial"/>
          <w:sz w:val="24"/>
          <w:szCs w:val="24"/>
        </w:rPr>
        <w:t>…..</w:t>
      </w:r>
      <w:proofErr w:type="gramEnd"/>
    </w:p>
    <w:p w14:paraId="77F759D2" w14:textId="77777777" w:rsidR="000A41E7" w:rsidRDefault="000A41E7" w:rsidP="009028D3">
      <w:pPr>
        <w:tabs>
          <w:tab w:val="left" w:pos="360"/>
          <w:tab w:val="left" w:pos="630"/>
        </w:tabs>
        <w:spacing w:after="0" w:line="360" w:lineRule="auto"/>
        <w:jc w:val="both"/>
        <w:rPr>
          <w:rFonts w:ascii="Arial" w:hAnsi="Arial" w:cs="Arial"/>
          <w:b/>
          <w:sz w:val="20"/>
          <w:szCs w:val="20"/>
        </w:rPr>
      </w:pPr>
    </w:p>
    <w:p w14:paraId="0B9D4216" w14:textId="77777777" w:rsidR="00894489" w:rsidRPr="00894489" w:rsidRDefault="00894489" w:rsidP="009028D3">
      <w:pPr>
        <w:tabs>
          <w:tab w:val="left" w:pos="360"/>
          <w:tab w:val="left" w:pos="630"/>
        </w:tabs>
        <w:spacing w:after="0" w:line="360" w:lineRule="auto"/>
        <w:jc w:val="both"/>
      </w:pPr>
    </w:p>
    <w:p w14:paraId="47E09B97" w14:textId="50BC0A3B" w:rsidR="001741B8" w:rsidRPr="00F354FE" w:rsidRDefault="006E4639" w:rsidP="009028D3">
      <w:pPr>
        <w:tabs>
          <w:tab w:val="left" w:pos="360"/>
          <w:tab w:val="left" w:pos="630"/>
        </w:tabs>
        <w:spacing w:after="0" w:line="360" w:lineRule="auto"/>
        <w:jc w:val="both"/>
        <w:rPr>
          <w:rFonts w:ascii="Arial" w:hAnsi="Arial" w:cs="Arial"/>
          <w:b/>
          <w:sz w:val="20"/>
          <w:szCs w:val="20"/>
        </w:rPr>
      </w:pPr>
      <w:r w:rsidRPr="00F354FE">
        <w:rPr>
          <w:rFonts w:ascii="Arial" w:hAnsi="Arial" w:cs="Arial"/>
          <w:b/>
          <w:sz w:val="20"/>
          <w:szCs w:val="20"/>
        </w:rPr>
        <w:t>X</w:t>
      </w:r>
      <w:r w:rsidR="00897502" w:rsidRPr="00F354FE">
        <w:rPr>
          <w:rFonts w:ascii="Arial" w:hAnsi="Arial" w:cs="Arial"/>
          <w:b/>
          <w:sz w:val="20"/>
          <w:szCs w:val="20"/>
        </w:rPr>
        <w:t>I</w:t>
      </w:r>
      <w:r w:rsidR="00BF25CD">
        <w:rPr>
          <w:rFonts w:ascii="Arial" w:hAnsi="Arial" w:cs="Arial"/>
          <w:b/>
          <w:sz w:val="20"/>
          <w:szCs w:val="20"/>
        </w:rPr>
        <w:t>I</w:t>
      </w:r>
      <w:r w:rsidR="00897502" w:rsidRPr="00F354FE">
        <w:rPr>
          <w:rFonts w:ascii="Arial" w:hAnsi="Arial" w:cs="Arial"/>
          <w:b/>
          <w:sz w:val="20"/>
          <w:szCs w:val="20"/>
        </w:rPr>
        <w:t xml:space="preserve">. </w:t>
      </w:r>
      <w:r w:rsidR="008818A3" w:rsidRPr="00F354FE">
        <w:rPr>
          <w:rFonts w:ascii="Arial" w:hAnsi="Arial" w:cs="Arial"/>
          <w:b/>
          <w:sz w:val="20"/>
          <w:szCs w:val="20"/>
        </w:rPr>
        <w:t>BIBLIOGRAPHY</w:t>
      </w:r>
    </w:p>
    <w:p w14:paraId="4B282879" w14:textId="5008C905" w:rsidR="00BD5D8B" w:rsidRPr="002369BD" w:rsidRDefault="00924A58"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1.</w:t>
      </w:r>
      <w:r w:rsidR="00BD5D8B" w:rsidRPr="002369BD">
        <w:rPr>
          <w:rFonts w:ascii="Arial" w:hAnsi="Arial" w:cs="Arial"/>
          <w:sz w:val="20"/>
          <w:szCs w:val="20"/>
        </w:rPr>
        <w:t xml:space="preserve">ACR </w:t>
      </w:r>
      <w:r w:rsidR="002F724F" w:rsidRPr="002369BD">
        <w:rPr>
          <w:rFonts w:ascii="Arial" w:hAnsi="Arial" w:cs="Arial"/>
          <w:sz w:val="20"/>
          <w:szCs w:val="20"/>
        </w:rPr>
        <w:t xml:space="preserve">practice guidelines for imaging pregnant or potentially pregnant adolescents and women with ionizing radiation. </w:t>
      </w:r>
      <w:r w:rsidR="00BD5D8B" w:rsidRPr="002369BD">
        <w:rPr>
          <w:rFonts w:ascii="Arial" w:hAnsi="Arial" w:cs="Arial"/>
          <w:sz w:val="20"/>
          <w:szCs w:val="20"/>
        </w:rPr>
        <w:t xml:space="preserve">2018.  </w:t>
      </w:r>
      <w:hyperlink r:id="rId10" w:history="1">
        <w:r w:rsidR="00BD5D8B" w:rsidRPr="002369BD">
          <w:rPr>
            <w:rStyle w:val="Hyperlink"/>
            <w:rFonts w:ascii="Arial" w:hAnsi="Arial" w:cs="Arial"/>
            <w:sz w:val="20"/>
            <w:szCs w:val="20"/>
          </w:rPr>
          <w:t>https://www.acr.org/-/media/ACR/Files/Practice-Parameters/Pregnant-Pts.pdf?la=en</w:t>
        </w:r>
      </w:hyperlink>
      <w:r w:rsidR="00BD5D8B" w:rsidRPr="002369BD">
        <w:rPr>
          <w:rFonts w:ascii="Arial" w:hAnsi="Arial" w:cs="Arial"/>
          <w:sz w:val="20"/>
          <w:szCs w:val="20"/>
        </w:rPr>
        <w:t>.  Last accessed 2-14-19.</w:t>
      </w:r>
    </w:p>
    <w:p w14:paraId="7521AAB9" w14:textId="7C14B056" w:rsidR="00A62562" w:rsidRPr="002369BD" w:rsidRDefault="002F724F"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2.</w:t>
      </w:r>
      <w:r w:rsidR="00A62562" w:rsidRPr="002369BD">
        <w:rPr>
          <w:rFonts w:ascii="Arial" w:hAnsi="Arial" w:cs="Arial"/>
          <w:sz w:val="20"/>
          <w:szCs w:val="20"/>
        </w:rPr>
        <w:t>ACR–SPR technical standard for diagnostic procedures using</w:t>
      </w:r>
      <w:r w:rsidR="003C08D6" w:rsidRPr="002369BD">
        <w:rPr>
          <w:rFonts w:ascii="Arial" w:hAnsi="Arial" w:cs="Arial"/>
          <w:sz w:val="20"/>
          <w:szCs w:val="20"/>
        </w:rPr>
        <w:t xml:space="preserve"> </w:t>
      </w:r>
      <w:r w:rsidR="00A62562" w:rsidRPr="002369BD">
        <w:rPr>
          <w:rFonts w:ascii="Arial" w:hAnsi="Arial" w:cs="Arial"/>
          <w:sz w:val="20"/>
          <w:szCs w:val="20"/>
        </w:rPr>
        <w:t>radiopharmaceuticals. 2016</w:t>
      </w:r>
      <w:r w:rsidR="003C08D6" w:rsidRPr="002369BD">
        <w:rPr>
          <w:rFonts w:ascii="Arial" w:hAnsi="Arial" w:cs="Arial"/>
          <w:sz w:val="20"/>
          <w:szCs w:val="20"/>
        </w:rPr>
        <w:t>.</w:t>
      </w:r>
    </w:p>
    <w:p w14:paraId="5D552468" w14:textId="5B79AF8B" w:rsidR="00C84C63" w:rsidRPr="002369BD" w:rsidRDefault="003C08D6"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3.</w:t>
      </w:r>
      <w:r w:rsidR="00C84C63" w:rsidRPr="002369BD">
        <w:rPr>
          <w:rFonts w:ascii="Arial" w:hAnsi="Arial" w:cs="Arial"/>
          <w:sz w:val="20"/>
          <w:szCs w:val="20"/>
        </w:rPr>
        <w:t xml:space="preserve">Avram AM. Radioiodine scintigraphy with SPECT/CT: an important diagnostic tool for staging and risk stratification. In: </w:t>
      </w:r>
      <w:r w:rsidR="00C84C63" w:rsidRPr="002369BD">
        <w:rPr>
          <w:rFonts w:ascii="Arial" w:hAnsi="Arial" w:cs="Arial"/>
          <w:sz w:val="20"/>
          <w:szCs w:val="20"/>
          <w:u w:val="single"/>
        </w:rPr>
        <w:t xml:space="preserve">Thyroid </w:t>
      </w:r>
      <w:r w:rsidR="004F2A12" w:rsidRPr="00FE6D7B">
        <w:rPr>
          <w:rFonts w:ascii="Arial" w:hAnsi="Arial" w:cs="Arial"/>
          <w:sz w:val="20"/>
          <w:szCs w:val="20"/>
          <w:u w:val="single"/>
        </w:rPr>
        <w:t xml:space="preserve">Cancer: A Comprehensive Guide </w:t>
      </w:r>
      <w:proofErr w:type="gramStart"/>
      <w:r w:rsidR="004F2A12" w:rsidRPr="00FE6D7B">
        <w:rPr>
          <w:rFonts w:ascii="Arial" w:hAnsi="Arial" w:cs="Arial"/>
          <w:sz w:val="20"/>
          <w:szCs w:val="20"/>
          <w:u w:val="single"/>
        </w:rPr>
        <w:t>To</w:t>
      </w:r>
      <w:proofErr w:type="gramEnd"/>
      <w:r w:rsidR="004F2A12" w:rsidRPr="00FE6D7B">
        <w:rPr>
          <w:rFonts w:ascii="Arial" w:hAnsi="Arial" w:cs="Arial"/>
          <w:sz w:val="20"/>
          <w:szCs w:val="20"/>
          <w:u w:val="single"/>
        </w:rPr>
        <w:t xml:space="preserve"> Clinical Management</w:t>
      </w:r>
      <w:r w:rsidR="00C84C63" w:rsidRPr="002369BD">
        <w:rPr>
          <w:rFonts w:ascii="Arial" w:hAnsi="Arial" w:cs="Arial"/>
          <w:i/>
          <w:sz w:val="20"/>
          <w:szCs w:val="20"/>
        </w:rPr>
        <w:t xml:space="preserve">. </w:t>
      </w:r>
      <w:r w:rsidR="00C84C63" w:rsidRPr="002369BD">
        <w:rPr>
          <w:rFonts w:ascii="Arial" w:hAnsi="Arial" w:cs="Arial"/>
          <w:sz w:val="20"/>
          <w:szCs w:val="20"/>
        </w:rPr>
        <w:t>3rd ed. New York, NY: Springer; 2016:215-23.</w:t>
      </w:r>
    </w:p>
    <w:p w14:paraId="210EC21B" w14:textId="4B68C520" w:rsidR="00E66793" w:rsidRPr="002369BD" w:rsidRDefault="00E66793"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 xml:space="preserve">4.Avram AM, Fig LM, Frey KA, et al.  </w:t>
      </w:r>
      <w:proofErr w:type="spellStart"/>
      <w:r w:rsidR="007C474C" w:rsidRPr="002369BD">
        <w:rPr>
          <w:rFonts w:ascii="Arial" w:hAnsi="Arial" w:cs="Arial"/>
          <w:sz w:val="20"/>
          <w:szCs w:val="20"/>
        </w:rPr>
        <w:t>Preablation</w:t>
      </w:r>
      <w:proofErr w:type="spellEnd"/>
      <w:r w:rsidR="007C474C" w:rsidRPr="002369BD">
        <w:rPr>
          <w:rFonts w:ascii="Arial" w:hAnsi="Arial" w:cs="Arial"/>
          <w:sz w:val="20"/>
          <w:szCs w:val="20"/>
        </w:rPr>
        <w:t xml:space="preserve"> 131I scans with SPECT/CT in postoperative thyroid cancer patients: what is the impact on staging?  </w:t>
      </w:r>
      <w:r w:rsidR="007C474C" w:rsidRPr="002369BD">
        <w:rPr>
          <w:rFonts w:ascii="Arial" w:hAnsi="Arial" w:cs="Arial"/>
          <w:i/>
          <w:sz w:val="20"/>
          <w:szCs w:val="20"/>
        </w:rPr>
        <w:t xml:space="preserve">J Clin Endocrinol </w:t>
      </w:r>
      <w:proofErr w:type="spellStart"/>
      <w:r w:rsidR="007C474C" w:rsidRPr="002369BD">
        <w:rPr>
          <w:rFonts w:ascii="Arial" w:hAnsi="Arial" w:cs="Arial"/>
          <w:i/>
          <w:sz w:val="20"/>
          <w:szCs w:val="20"/>
        </w:rPr>
        <w:t>Metab</w:t>
      </w:r>
      <w:proofErr w:type="spellEnd"/>
      <w:r w:rsidR="007C474C" w:rsidRPr="002369BD">
        <w:rPr>
          <w:rFonts w:ascii="Arial" w:hAnsi="Arial" w:cs="Arial"/>
          <w:sz w:val="20"/>
          <w:szCs w:val="20"/>
        </w:rPr>
        <w:t>.  2013; 98; 1163-7.</w:t>
      </w:r>
    </w:p>
    <w:p w14:paraId="75339D23" w14:textId="0D5F447B" w:rsidR="008D51FB" w:rsidRPr="002369BD" w:rsidRDefault="001B64D2"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5</w:t>
      </w:r>
      <w:r w:rsidR="003C08D6" w:rsidRPr="002369BD">
        <w:rPr>
          <w:rFonts w:ascii="Arial" w:hAnsi="Arial" w:cs="Arial"/>
          <w:sz w:val="20"/>
          <w:szCs w:val="20"/>
        </w:rPr>
        <w:t>.</w:t>
      </w:r>
      <w:r w:rsidR="008D51FB" w:rsidRPr="002369BD">
        <w:rPr>
          <w:rFonts w:ascii="Arial" w:hAnsi="Arial" w:cs="Arial"/>
          <w:sz w:val="20"/>
          <w:szCs w:val="20"/>
        </w:rPr>
        <w:t xml:space="preserve">Balon HR, Meier DA, </w:t>
      </w:r>
      <w:proofErr w:type="spellStart"/>
      <w:r w:rsidR="008D51FB" w:rsidRPr="002369BD">
        <w:rPr>
          <w:rFonts w:ascii="Arial" w:hAnsi="Arial" w:cs="Arial"/>
          <w:sz w:val="20"/>
          <w:szCs w:val="20"/>
        </w:rPr>
        <w:t>Charkes</w:t>
      </w:r>
      <w:proofErr w:type="spellEnd"/>
      <w:r w:rsidR="008D51FB" w:rsidRPr="002369BD">
        <w:rPr>
          <w:rFonts w:ascii="Arial" w:hAnsi="Arial" w:cs="Arial"/>
          <w:sz w:val="20"/>
          <w:szCs w:val="20"/>
        </w:rPr>
        <w:t xml:space="preserve"> ND, Royal HD, Sarkar SD, Donohoe KJ. Society of </w:t>
      </w:r>
      <w:r w:rsidR="00315702" w:rsidRPr="002369BD">
        <w:rPr>
          <w:rFonts w:ascii="Arial" w:hAnsi="Arial" w:cs="Arial"/>
          <w:sz w:val="20"/>
          <w:szCs w:val="20"/>
        </w:rPr>
        <w:t>N</w:t>
      </w:r>
      <w:r w:rsidR="008D51FB" w:rsidRPr="002369BD">
        <w:rPr>
          <w:rFonts w:ascii="Arial" w:hAnsi="Arial" w:cs="Arial"/>
          <w:sz w:val="20"/>
          <w:szCs w:val="20"/>
        </w:rPr>
        <w:t xml:space="preserve">uclear </w:t>
      </w:r>
      <w:r w:rsidR="00315702" w:rsidRPr="002369BD">
        <w:rPr>
          <w:rFonts w:ascii="Arial" w:hAnsi="Arial" w:cs="Arial"/>
          <w:sz w:val="20"/>
          <w:szCs w:val="20"/>
        </w:rPr>
        <w:t>M</w:t>
      </w:r>
      <w:r w:rsidR="008D51FB" w:rsidRPr="002369BD">
        <w:rPr>
          <w:rFonts w:ascii="Arial" w:hAnsi="Arial" w:cs="Arial"/>
          <w:sz w:val="20"/>
          <w:szCs w:val="20"/>
        </w:rPr>
        <w:t>edicine</w:t>
      </w:r>
      <w:r w:rsidR="00315702" w:rsidRPr="002369BD">
        <w:rPr>
          <w:rFonts w:ascii="Arial" w:hAnsi="Arial" w:cs="Arial"/>
          <w:sz w:val="20"/>
          <w:szCs w:val="20"/>
        </w:rPr>
        <w:t xml:space="preserve"> </w:t>
      </w:r>
      <w:r w:rsidR="008D51FB" w:rsidRPr="002369BD">
        <w:rPr>
          <w:rFonts w:ascii="Arial" w:hAnsi="Arial" w:cs="Arial"/>
          <w:sz w:val="20"/>
          <w:szCs w:val="20"/>
        </w:rPr>
        <w:t>procedure guidelines for thyroid uptake measurement version 3.0. 2006</w:t>
      </w:r>
      <w:r w:rsidR="00315702" w:rsidRPr="002369BD">
        <w:rPr>
          <w:rFonts w:ascii="Arial" w:hAnsi="Arial" w:cs="Arial"/>
          <w:sz w:val="20"/>
          <w:szCs w:val="20"/>
        </w:rPr>
        <w:t>.</w:t>
      </w:r>
    </w:p>
    <w:p w14:paraId="789194DF" w14:textId="1AD2CCB9" w:rsidR="00565CF8" w:rsidRPr="002369BD" w:rsidRDefault="001B64D2"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6</w:t>
      </w:r>
      <w:r w:rsidR="00315702" w:rsidRPr="002369BD">
        <w:rPr>
          <w:rFonts w:ascii="Arial" w:hAnsi="Arial" w:cs="Arial"/>
          <w:sz w:val="20"/>
          <w:szCs w:val="20"/>
        </w:rPr>
        <w:t>.</w:t>
      </w:r>
      <w:r w:rsidR="00565CF8" w:rsidRPr="002369BD">
        <w:rPr>
          <w:rFonts w:ascii="Arial" w:hAnsi="Arial" w:cs="Arial"/>
          <w:sz w:val="20"/>
          <w:szCs w:val="20"/>
        </w:rPr>
        <w:t xml:space="preserve">Baum, RP.  </w:t>
      </w:r>
      <w:r w:rsidR="00565CF8" w:rsidRPr="002369BD">
        <w:rPr>
          <w:rFonts w:ascii="Arial" w:hAnsi="Arial" w:cs="Arial"/>
          <w:sz w:val="20"/>
          <w:szCs w:val="20"/>
          <w:u w:val="single"/>
        </w:rPr>
        <w:t>Therapeutic Nuclear Medicine</w:t>
      </w:r>
      <w:r w:rsidR="00565CF8" w:rsidRPr="002369BD">
        <w:rPr>
          <w:rFonts w:ascii="Arial" w:hAnsi="Arial" w:cs="Arial"/>
          <w:sz w:val="20"/>
          <w:szCs w:val="20"/>
        </w:rPr>
        <w:t>.  2014. Springer.</w:t>
      </w:r>
    </w:p>
    <w:p w14:paraId="0000EA24" w14:textId="5C69D9D7" w:rsidR="009561A3" w:rsidRPr="002369BD" w:rsidRDefault="001B64D2" w:rsidP="00CF38F9">
      <w:pPr>
        <w:tabs>
          <w:tab w:val="left" w:pos="360"/>
          <w:tab w:val="left" w:pos="630"/>
        </w:tabs>
        <w:spacing w:after="0" w:line="240" w:lineRule="auto"/>
        <w:rPr>
          <w:rFonts w:ascii="Arial" w:hAnsi="Arial" w:cs="Arial"/>
          <w:sz w:val="20"/>
          <w:szCs w:val="20"/>
        </w:rPr>
      </w:pPr>
      <w:r w:rsidRPr="00AA496C">
        <w:rPr>
          <w:rFonts w:ascii="Arial" w:hAnsi="Arial" w:cs="Arial"/>
          <w:sz w:val="20"/>
          <w:szCs w:val="20"/>
        </w:rPr>
        <w:t>7</w:t>
      </w:r>
      <w:r w:rsidR="002A7698" w:rsidRPr="00AA496C">
        <w:rPr>
          <w:rFonts w:ascii="Arial" w:hAnsi="Arial" w:cs="Arial"/>
          <w:sz w:val="20"/>
          <w:szCs w:val="20"/>
        </w:rPr>
        <w:t>.</w:t>
      </w:r>
      <w:r w:rsidR="009561A3" w:rsidRPr="00AA496C">
        <w:rPr>
          <w:rFonts w:ascii="Arial" w:hAnsi="Arial" w:cs="Arial"/>
          <w:sz w:val="20"/>
          <w:szCs w:val="20"/>
        </w:rPr>
        <w:t xml:space="preserve">Chen S, Li N, Li X, et al.  </w:t>
      </w:r>
      <w:r w:rsidR="00F51E94" w:rsidRPr="002369BD">
        <w:rPr>
          <w:rFonts w:ascii="Arial" w:hAnsi="Arial" w:cs="Arial"/>
          <w:sz w:val="20"/>
          <w:szCs w:val="20"/>
        </w:rPr>
        <w:t xml:space="preserve">74 MBq 131I for diagnostic scan can decrease the </w:t>
      </w:r>
      <w:r w:rsidR="002C6BC2" w:rsidRPr="002369BD">
        <w:rPr>
          <w:rFonts w:ascii="Arial" w:hAnsi="Arial" w:cs="Arial"/>
          <w:sz w:val="20"/>
          <w:szCs w:val="20"/>
        </w:rPr>
        <w:t>u</w:t>
      </w:r>
      <w:r w:rsidR="00F51E94" w:rsidRPr="002369BD">
        <w:rPr>
          <w:rFonts w:ascii="Arial" w:hAnsi="Arial" w:cs="Arial"/>
          <w:sz w:val="20"/>
          <w:szCs w:val="20"/>
        </w:rPr>
        <w:t xml:space="preserve">ptake of 131I by thyroid remnants or </w:t>
      </w:r>
      <w:r w:rsidR="00472AA6" w:rsidRPr="002369BD">
        <w:rPr>
          <w:rFonts w:ascii="Arial" w:hAnsi="Arial" w:cs="Arial"/>
          <w:sz w:val="20"/>
          <w:szCs w:val="20"/>
        </w:rPr>
        <w:t>m</w:t>
      </w:r>
      <w:r w:rsidR="00F51E94" w:rsidRPr="002369BD">
        <w:rPr>
          <w:rFonts w:ascii="Arial" w:hAnsi="Arial" w:cs="Arial"/>
          <w:sz w:val="20"/>
          <w:szCs w:val="20"/>
        </w:rPr>
        <w:t xml:space="preserve">etastases, the thyroid stunning exists.  </w:t>
      </w:r>
      <w:r w:rsidR="00F51E94" w:rsidRPr="002369BD">
        <w:rPr>
          <w:rFonts w:ascii="Arial" w:hAnsi="Arial" w:cs="Arial"/>
          <w:i/>
          <w:sz w:val="20"/>
          <w:szCs w:val="20"/>
        </w:rPr>
        <w:t xml:space="preserve">Q J </w:t>
      </w:r>
      <w:proofErr w:type="spellStart"/>
      <w:r w:rsidR="00F51E94" w:rsidRPr="002369BD">
        <w:rPr>
          <w:rFonts w:ascii="Arial" w:hAnsi="Arial" w:cs="Arial"/>
          <w:i/>
          <w:sz w:val="20"/>
          <w:szCs w:val="20"/>
        </w:rPr>
        <w:t>Nucl</w:t>
      </w:r>
      <w:proofErr w:type="spellEnd"/>
      <w:r w:rsidR="00F51E94" w:rsidRPr="002369BD">
        <w:rPr>
          <w:rFonts w:ascii="Arial" w:hAnsi="Arial" w:cs="Arial"/>
          <w:i/>
          <w:sz w:val="20"/>
          <w:szCs w:val="20"/>
        </w:rPr>
        <w:t xml:space="preserve"> Med Mol </w:t>
      </w:r>
      <w:proofErr w:type="spellStart"/>
      <w:r w:rsidR="00F51E94" w:rsidRPr="002369BD">
        <w:rPr>
          <w:rFonts w:ascii="Arial" w:hAnsi="Arial" w:cs="Arial"/>
          <w:i/>
          <w:sz w:val="20"/>
          <w:szCs w:val="20"/>
        </w:rPr>
        <w:t>Imag</w:t>
      </w:r>
      <w:proofErr w:type="spellEnd"/>
      <w:r w:rsidR="00F51E94" w:rsidRPr="002369BD">
        <w:rPr>
          <w:rFonts w:ascii="Arial" w:hAnsi="Arial" w:cs="Arial"/>
          <w:sz w:val="20"/>
          <w:szCs w:val="20"/>
        </w:rPr>
        <w:t>.</w:t>
      </w:r>
      <w:r w:rsidR="00BB7E44" w:rsidRPr="002369BD">
        <w:rPr>
          <w:rFonts w:ascii="Arial" w:hAnsi="Arial" w:cs="Arial"/>
          <w:sz w:val="20"/>
          <w:szCs w:val="20"/>
        </w:rPr>
        <w:t xml:space="preserve">  2015; 59:455-61.</w:t>
      </w:r>
    </w:p>
    <w:p w14:paraId="202DA79D" w14:textId="63D6F8DA" w:rsidR="001741B8" w:rsidRPr="002369BD" w:rsidRDefault="001B64D2"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8</w:t>
      </w:r>
      <w:r w:rsidR="002A7698" w:rsidRPr="002369BD">
        <w:rPr>
          <w:rFonts w:ascii="Arial" w:hAnsi="Arial" w:cs="Arial"/>
          <w:sz w:val="20"/>
          <w:szCs w:val="20"/>
        </w:rPr>
        <w:t>.</w:t>
      </w:r>
      <w:r w:rsidR="00897502" w:rsidRPr="002369BD">
        <w:rPr>
          <w:rFonts w:ascii="Arial" w:hAnsi="Arial" w:cs="Arial"/>
          <w:sz w:val="20"/>
          <w:szCs w:val="20"/>
        </w:rPr>
        <w:t xml:space="preserve">Chin BB, Patel P, </w:t>
      </w:r>
      <w:proofErr w:type="spellStart"/>
      <w:r w:rsidR="00897502" w:rsidRPr="002369BD">
        <w:rPr>
          <w:rFonts w:ascii="Arial" w:hAnsi="Arial" w:cs="Arial"/>
          <w:sz w:val="20"/>
          <w:szCs w:val="20"/>
        </w:rPr>
        <w:t>Cohade</w:t>
      </w:r>
      <w:proofErr w:type="spellEnd"/>
      <w:r w:rsidR="00897502" w:rsidRPr="002369BD">
        <w:rPr>
          <w:rFonts w:ascii="Arial" w:hAnsi="Arial" w:cs="Arial"/>
          <w:sz w:val="20"/>
          <w:szCs w:val="20"/>
        </w:rPr>
        <w:t xml:space="preserve"> C, et al. </w:t>
      </w:r>
      <w:r w:rsidR="002C6BC2" w:rsidRPr="002369BD">
        <w:rPr>
          <w:rFonts w:ascii="Arial" w:hAnsi="Arial" w:cs="Arial"/>
          <w:sz w:val="20"/>
          <w:szCs w:val="20"/>
        </w:rPr>
        <w:t xml:space="preserve"> </w:t>
      </w:r>
      <w:r w:rsidR="00897502" w:rsidRPr="002369BD">
        <w:rPr>
          <w:rFonts w:ascii="Arial" w:hAnsi="Arial" w:cs="Arial"/>
          <w:sz w:val="20"/>
          <w:szCs w:val="20"/>
        </w:rPr>
        <w:t xml:space="preserve">Recombinant human thyrotropin stimulation of </w:t>
      </w:r>
      <w:proofErr w:type="spellStart"/>
      <w:r w:rsidR="00897502" w:rsidRPr="002369BD">
        <w:rPr>
          <w:rFonts w:ascii="Arial" w:hAnsi="Arial" w:cs="Arial"/>
          <w:sz w:val="20"/>
          <w:szCs w:val="20"/>
        </w:rPr>
        <w:t>fluoro</w:t>
      </w:r>
      <w:proofErr w:type="spellEnd"/>
      <w:r w:rsidR="00897502" w:rsidRPr="002369BD">
        <w:rPr>
          <w:rFonts w:ascii="Arial" w:hAnsi="Arial" w:cs="Arial"/>
          <w:sz w:val="20"/>
          <w:szCs w:val="20"/>
        </w:rPr>
        <w:t xml:space="preserve">-D-glucose positron emission tomography uptake in well-differentiated </w:t>
      </w:r>
      <w:r w:rsidR="002C6BC2" w:rsidRPr="002369BD">
        <w:rPr>
          <w:rFonts w:ascii="Arial" w:hAnsi="Arial" w:cs="Arial"/>
          <w:sz w:val="20"/>
          <w:szCs w:val="20"/>
        </w:rPr>
        <w:t>t</w:t>
      </w:r>
      <w:r w:rsidR="00897502" w:rsidRPr="002369BD">
        <w:rPr>
          <w:rFonts w:ascii="Arial" w:hAnsi="Arial" w:cs="Arial"/>
          <w:sz w:val="20"/>
          <w:szCs w:val="20"/>
        </w:rPr>
        <w:t xml:space="preserve">hyroid carcinoma. </w:t>
      </w:r>
      <w:r w:rsidR="00897502" w:rsidRPr="002369BD">
        <w:rPr>
          <w:rFonts w:ascii="Arial" w:hAnsi="Arial" w:cs="Arial"/>
          <w:i/>
          <w:sz w:val="20"/>
          <w:szCs w:val="20"/>
        </w:rPr>
        <w:t xml:space="preserve">J Clin Endocrinol </w:t>
      </w:r>
      <w:proofErr w:type="spellStart"/>
      <w:r w:rsidR="00897502" w:rsidRPr="002369BD">
        <w:rPr>
          <w:rFonts w:ascii="Arial" w:hAnsi="Arial" w:cs="Arial"/>
          <w:i/>
          <w:sz w:val="20"/>
          <w:szCs w:val="20"/>
        </w:rPr>
        <w:t>Metab</w:t>
      </w:r>
      <w:proofErr w:type="spellEnd"/>
      <w:r w:rsidR="002A7698" w:rsidRPr="002369BD">
        <w:rPr>
          <w:rFonts w:ascii="Arial" w:hAnsi="Arial" w:cs="Arial"/>
          <w:sz w:val="20"/>
          <w:szCs w:val="20"/>
        </w:rPr>
        <w:t>.</w:t>
      </w:r>
      <w:r w:rsidR="00897502" w:rsidRPr="002369BD">
        <w:rPr>
          <w:rFonts w:ascii="Arial" w:hAnsi="Arial" w:cs="Arial"/>
          <w:sz w:val="20"/>
          <w:szCs w:val="20"/>
        </w:rPr>
        <w:t xml:space="preserve"> 2004;</w:t>
      </w:r>
      <w:r w:rsidR="00B943A5" w:rsidRPr="002369BD">
        <w:rPr>
          <w:rFonts w:ascii="Arial" w:hAnsi="Arial" w:cs="Arial"/>
          <w:sz w:val="20"/>
          <w:szCs w:val="20"/>
        </w:rPr>
        <w:t xml:space="preserve"> </w:t>
      </w:r>
      <w:r w:rsidR="00897502" w:rsidRPr="002369BD">
        <w:rPr>
          <w:rFonts w:ascii="Arial" w:hAnsi="Arial" w:cs="Arial"/>
          <w:sz w:val="20"/>
          <w:szCs w:val="20"/>
        </w:rPr>
        <w:t xml:space="preserve">89:91–5. </w:t>
      </w:r>
    </w:p>
    <w:p w14:paraId="38ECD404" w14:textId="594002C3" w:rsidR="0006130B" w:rsidRDefault="001B64D2"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9</w:t>
      </w:r>
      <w:r w:rsidR="00AE3ECF" w:rsidRPr="002369BD">
        <w:rPr>
          <w:rFonts w:ascii="Arial" w:hAnsi="Arial" w:cs="Arial"/>
          <w:sz w:val="20"/>
          <w:szCs w:val="20"/>
        </w:rPr>
        <w:t>.</w:t>
      </w:r>
      <w:r w:rsidR="0006130B" w:rsidRPr="002369BD">
        <w:rPr>
          <w:rFonts w:ascii="Arial" w:hAnsi="Arial" w:cs="Arial"/>
          <w:sz w:val="20"/>
          <w:szCs w:val="20"/>
        </w:rPr>
        <w:t xml:space="preserve">Choi SJ, Jun KP, See SS, et al.  Clinical usefulness of F-18 FDG PET/CT in papillary thyroid cancer with negative </w:t>
      </w:r>
      <w:proofErr w:type="spellStart"/>
      <w:r w:rsidR="0006130B" w:rsidRPr="002369BD">
        <w:rPr>
          <w:rFonts w:ascii="Arial" w:hAnsi="Arial" w:cs="Arial"/>
          <w:sz w:val="20"/>
          <w:szCs w:val="20"/>
        </w:rPr>
        <w:t>radioodine</w:t>
      </w:r>
      <w:proofErr w:type="spellEnd"/>
      <w:r w:rsidR="0006130B" w:rsidRPr="002369BD">
        <w:rPr>
          <w:rFonts w:ascii="Arial" w:hAnsi="Arial" w:cs="Arial"/>
          <w:sz w:val="20"/>
          <w:szCs w:val="20"/>
        </w:rPr>
        <w:t xml:space="preserve"> </w:t>
      </w:r>
      <w:r w:rsidR="00D6039B" w:rsidRPr="002369BD">
        <w:rPr>
          <w:rFonts w:ascii="Arial" w:hAnsi="Arial" w:cs="Arial"/>
          <w:sz w:val="20"/>
          <w:szCs w:val="20"/>
        </w:rPr>
        <w:t xml:space="preserve">scan and elevated thyroglobulin level or positive anti-thyroglobulin antibody.  </w:t>
      </w:r>
      <w:proofErr w:type="spellStart"/>
      <w:r w:rsidR="00D6039B" w:rsidRPr="002369BD">
        <w:rPr>
          <w:rFonts w:ascii="Arial" w:hAnsi="Arial" w:cs="Arial"/>
          <w:i/>
          <w:sz w:val="20"/>
          <w:szCs w:val="20"/>
        </w:rPr>
        <w:t>Nucl</w:t>
      </w:r>
      <w:proofErr w:type="spellEnd"/>
      <w:r w:rsidR="00D6039B" w:rsidRPr="002369BD">
        <w:rPr>
          <w:rFonts w:ascii="Arial" w:hAnsi="Arial" w:cs="Arial"/>
          <w:i/>
          <w:sz w:val="20"/>
          <w:szCs w:val="20"/>
        </w:rPr>
        <w:t xml:space="preserve"> Med Mol Imaging</w:t>
      </w:r>
      <w:r w:rsidR="00D6039B" w:rsidRPr="002369BD">
        <w:rPr>
          <w:rFonts w:ascii="Arial" w:hAnsi="Arial" w:cs="Arial"/>
          <w:sz w:val="20"/>
          <w:szCs w:val="20"/>
        </w:rPr>
        <w:t>.  2016; 50: 130-6.</w:t>
      </w:r>
    </w:p>
    <w:p w14:paraId="07B6E6E8" w14:textId="31B4CC4C" w:rsidR="004C27EE" w:rsidRPr="004C27EE" w:rsidRDefault="002D2E42" w:rsidP="004C27EE">
      <w:pPr>
        <w:tabs>
          <w:tab w:val="left" w:pos="360"/>
          <w:tab w:val="left" w:pos="630"/>
        </w:tabs>
        <w:spacing w:after="0" w:line="240" w:lineRule="auto"/>
        <w:jc w:val="both"/>
      </w:pPr>
      <w:r>
        <w:t xml:space="preserve">10. </w:t>
      </w:r>
      <w:proofErr w:type="spellStart"/>
      <w:r w:rsidR="004C27EE" w:rsidRPr="00894489">
        <w:t>Dilsizian</w:t>
      </w:r>
      <w:proofErr w:type="spellEnd"/>
      <w:r w:rsidR="004C27EE" w:rsidRPr="00894489">
        <w:t xml:space="preserve"> V, Metter D, </w:t>
      </w:r>
      <w:proofErr w:type="spellStart"/>
      <w:r w:rsidR="004C27EE" w:rsidRPr="00894489">
        <w:t>Pa</w:t>
      </w:r>
      <w:r w:rsidR="004C27EE" w:rsidRPr="00AA496C">
        <w:t>lestro</w:t>
      </w:r>
      <w:proofErr w:type="spellEnd"/>
      <w:r w:rsidR="004C27EE" w:rsidRPr="00AA496C">
        <w:t xml:space="preserve"> C, et al.  Advisory co</w:t>
      </w:r>
      <w:r w:rsidR="004C27EE">
        <w:t>mmittee on medical uses of isotopes (ACMUI) sub-committee on nursing mother guidelines for the medical administration of radioactive materials.  2019.</w:t>
      </w:r>
    </w:p>
    <w:p w14:paraId="6E276949" w14:textId="3FBE7724" w:rsidR="001741B8" w:rsidRPr="002369BD" w:rsidRDefault="001B64D2" w:rsidP="00CF38F9">
      <w:pPr>
        <w:tabs>
          <w:tab w:val="left" w:pos="360"/>
          <w:tab w:val="left" w:pos="630"/>
        </w:tabs>
        <w:spacing w:after="0" w:line="240" w:lineRule="auto"/>
        <w:rPr>
          <w:rFonts w:ascii="Arial" w:hAnsi="Arial" w:cs="Arial"/>
          <w:sz w:val="20"/>
          <w:szCs w:val="20"/>
        </w:rPr>
      </w:pPr>
      <w:r w:rsidRPr="00D01E5F">
        <w:rPr>
          <w:rFonts w:ascii="Arial" w:hAnsi="Arial" w:cs="Arial"/>
          <w:sz w:val="20"/>
          <w:szCs w:val="20"/>
        </w:rPr>
        <w:lastRenderedPageBreak/>
        <w:t>1</w:t>
      </w:r>
      <w:r w:rsidR="002D2E42" w:rsidRPr="00D01E5F">
        <w:rPr>
          <w:rFonts w:ascii="Arial" w:hAnsi="Arial" w:cs="Arial"/>
          <w:sz w:val="20"/>
          <w:szCs w:val="20"/>
        </w:rPr>
        <w:t>1</w:t>
      </w:r>
      <w:r w:rsidR="00AE3ECF" w:rsidRPr="00D01E5F">
        <w:rPr>
          <w:rFonts w:ascii="Arial" w:hAnsi="Arial" w:cs="Arial"/>
          <w:sz w:val="20"/>
          <w:szCs w:val="20"/>
        </w:rPr>
        <w:t>.</w:t>
      </w:r>
      <w:r w:rsidR="000A048A" w:rsidRPr="00D01E5F">
        <w:rPr>
          <w:rFonts w:ascii="Arial" w:hAnsi="Arial" w:cs="Arial"/>
          <w:sz w:val="20"/>
          <w:szCs w:val="20"/>
        </w:rPr>
        <w:t>Haugen BR, Alexander EK, Bible KC, et al.</w:t>
      </w:r>
      <w:r w:rsidR="00D1242B" w:rsidRPr="00D01E5F">
        <w:rPr>
          <w:rFonts w:ascii="Arial" w:hAnsi="Arial" w:cs="Arial"/>
          <w:sz w:val="20"/>
          <w:szCs w:val="20"/>
        </w:rPr>
        <w:t xml:space="preserve"> </w:t>
      </w:r>
      <w:r w:rsidR="00AE3ECF" w:rsidRPr="00D01E5F">
        <w:rPr>
          <w:rFonts w:ascii="Arial" w:hAnsi="Arial" w:cs="Arial"/>
          <w:sz w:val="20"/>
          <w:szCs w:val="20"/>
        </w:rPr>
        <w:t xml:space="preserve"> </w:t>
      </w:r>
      <w:r w:rsidR="00D1242B" w:rsidRPr="002369BD">
        <w:rPr>
          <w:rFonts w:ascii="Arial" w:hAnsi="Arial" w:cs="Arial"/>
          <w:sz w:val="20"/>
          <w:szCs w:val="20"/>
        </w:rPr>
        <w:t xml:space="preserve">2015 </w:t>
      </w:r>
      <w:r w:rsidR="00897502" w:rsidRPr="002369BD">
        <w:rPr>
          <w:rFonts w:ascii="Arial" w:hAnsi="Arial" w:cs="Arial"/>
          <w:sz w:val="20"/>
          <w:szCs w:val="20"/>
        </w:rPr>
        <w:t>American Thyroid Association</w:t>
      </w:r>
      <w:r w:rsidR="00D1242B" w:rsidRPr="002369BD">
        <w:rPr>
          <w:rFonts w:ascii="Arial" w:hAnsi="Arial" w:cs="Arial"/>
          <w:sz w:val="20"/>
          <w:szCs w:val="20"/>
        </w:rPr>
        <w:t xml:space="preserve"> m</w:t>
      </w:r>
      <w:r w:rsidR="00897502" w:rsidRPr="002369BD">
        <w:rPr>
          <w:rFonts w:ascii="Arial" w:hAnsi="Arial" w:cs="Arial"/>
          <w:sz w:val="20"/>
          <w:szCs w:val="20"/>
        </w:rPr>
        <w:t>anagement guidelines for patients with thyroid nodules and differentiated thyroid cancer</w:t>
      </w:r>
      <w:r w:rsidR="00D1242B" w:rsidRPr="002369BD">
        <w:rPr>
          <w:rFonts w:ascii="Arial" w:hAnsi="Arial" w:cs="Arial"/>
          <w:sz w:val="20"/>
          <w:szCs w:val="20"/>
        </w:rPr>
        <w:t xml:space="preserve">: </w:t>
      </w:r>
      <w:r w:rsidR="00A05462" w:rsidRPr="002369BD">
        <w:rPr>
          <w:rFonts w:ascii="Arial" w:hAnsi="Arial" w:cs="Arial"/>
          <w:sz w:val="20"/>
          <w:szCs w:val="20"/>
        </w:rPr>
        <w:t xml:space="preserve">The American Thyroid Association guidelines task force on thyroid nodules and differentiated thyroid cancer.  </w:t>
      </w:r>
      <w:r w:rsidR="00897502" w:rsidRPr="002369BD">
        <w:rPr>
          <w:rFonts w:ascii="Arial" w:hAnsi="Arial" w:cs="Arial"/>
          <w:i/>
          <w:sz w:val="20"/>
          <w:szCs w:val="20"/>
        </w:rPr>
        <w:t>Thyroid</w:t>
      </w:r>
      <w:r w:rsidR="00A05462" w:rsidRPr="002369BD">
        <w:rPr>
          <w:rFonts w:ascii="Arial" w:hAnsi="Arial" w:cs="Arial"/>
          <w:sz w:val="20"/>
          <w:szCs w:val="20"/>
        </w:rPr>
        <w:t>.</w:t>
      </w:r>
      <w:r w:rsidR="00897502" w:rsidRPr="002369BD">
        <w:rPr>
          <w:rFonts w:ascii="Arial" w:hAnsi="Arial" w:cs="Arial"/>
          <w:sz w:val="20"/>
          <w:szCs w:val="20"/>
        </w:rPr>
        <w:t xml:space="preserve"> 2</w:t>
      </w:r>
      <w:r w:rsidR="00B943A5" w:rsidRPr="002369BD">
        <w:rPr>
          <w:rFonts w:ascii="Arial" w:hAnsi="Arial" w:cs="Arial"/>
          <w:sz w:val="20"/>
          <w:szCs w:val="20"/>
        </w:rPr>
        <w:t>016</w:t>
      </w:r>
      <w:r w:rsidR="00897502" w:rsidRPr="002369BD">
        <w:rPr>
          <w:rFonts w:ascii="Arial" w:hAnsi="Arial" w:cs="Arial"/>
          <w:sz w:val="20"/>
          <w:szCs w:val="20"/>
        </w:rPr>
        <w:t>;</w:t>
      </w:r>
      <w:r w:rsidR="00B943A5" w:rsidRPr="002369BD">
        <w:rPr>
          <w:rFonts w:ascii="Arial" w:hAnsi="Arial" w:cs="Arial"/>
          <w:sz w:val="20"/>
          <w:szCs w:val="20"/>
        </w:rPr>
        <w:t xml:space="preserve"> 26</w:t>
      </w:r>
      <w:r w:rsidR="00897502" w:rsidRPr="002369BD">
        <w:rPr>
          <w:rFonts w:ascii="Arial" w:hAnsi="Arial" w:cs="Arial"/>
          <w:sz w:val="20"/>
          <w:szCs w:val="20"/>
        </w:rPr>
        <w:t>:</w:t>
      </w:r>
      <w:r w:rsidR="00B943A5" w:rsidRPr="002369BD">
        <w:rPr>
          <w:rFonts w:ascii="Arial" w:hAnsi="Arial" w:cs="Arial"/>
          <w:sz w:val="20"/>
          <w:szCs w:val="20"/>
        </w:rPr>
        <w:t>1-133</w:t>
      </w:r>
      <w:r w:rsidR="00897502" w:rsidRPr="002369BD">
        <w:rPr>
          <w:rFonts w:ascii="Arial" w:hAnsi="Arial" w:cs="Arial"/>
          <w:sz w:val="20"/>
          <w:szCs w:val="20"/>
        </w:rPr>
        <w:t xml:space="preserve">. </w:t>
      </w:r>
    </w:p>
    <w:p w14:paraId="78FF15DE" w14:textId="1A6DC00B" w:rsidR="001741B8" w:rsidRPr="002369BD" w:rsidRDefault="00256554" w:rsidP="00CF38F9">
      <w:pPr>
        <w:tabs>
          <w:tab w:val="left" w:pos="360"/>
          <w:tab w:val="left" w:pos="630"/>
        </w:tabs>
        <w:spacing w:after="0" w:line="240" w:lineRule="auto"/>
        <w:rPr>
          <w:rFonts w:ascii="Arial" w:hAnsi="Arial" w:cs="Arial"/>
          <w:sz w:val="20"/>
          <w:szCs w:val="20"/>
          <w:lang w:val="fr-FR"/>
        </w:rPr>
      </w:pPr>
      <w:r w:rsidRPr="002369BD">
        <w:rPr>
          <w:rFonts w:ascii="Arial" w:hAnsi="Arial" w:cs="Arial"/>
          <w:sz w:val="20"/>
          <w:szCs w:val="20"/>
        </w:rPr>
        <w:t>1</w:t>
      </w:r>
      <w:r w:rsidR="002D2E42">
        <w:rPr>
          <w:rFonts w:ascii="Arial" w:hAnsi="Arial" w:cs="Arial"/>
          <w:sz w:val="20"/>
          <w:szCs w:val="20"/>
        </w:rPr>
        <w:t>2</w:t>
      </w:r>
      <w:r w:rsidRPr="002369BD">
        <w:rPr>
          <w:rFonts w:ascii="Arial" w:hAnsi="Arial" w:cs="Arial"/>
          <w:sz w:val="20"/>
          <w:szCs w:val="20"/>
        </w:rPr>
        <w:t>.</w:t>
      </w:r>
      <w:r w:rsidR="00897502" w:rsidRPr="002369BD">
        <w:rPr>
          <w:rFonts w:ascii="Arial" w:hAnsi="Arial" w:cs="Arial"/>
          <w:sz w:val="20"/>
          <w:szCs w:val="20"/>
        </w:rPr>
        <w:t>Dam HQ, Kim SM, Lin HC, et al. 131I therapeutic efficacy is not influenced by stunning after diagnostic whole</w:t>
      </w:r>
      <w:r w:rsidR="00A268C6" w:rsidRPr="002369BD">
        <w:rPr>
          <w:rFonts w:ascii="Arial" w:hAnsi="Arial" w:cs="Arial"/>
          <w:sz w:val="20"/>
          <w:szCs w:val="20"/>
        </w:rPr>
        <w:t>-</w:t>
      </w:r>
      <w:r w:rsidR="00897502" w:rsidRPr="002369BD">
        <w:rPr>
          <w:rFonts w:ascii="Arial" w:hAnsi="Arial" w:cs="Arial"/>
          <w:sz w:val="20"/>
          <w:szCs w:val="20"/>
        </w:rPr>
        <w:t xml:space="preserve">body scanning. </w:t>
      </w:r>
      <w:r w:rsidR="00B128E8" w:rsidRPr="002369BD">
        <w:rPr>
          <w:rFonts w:ascii="Arial" w:hAnsi="Arial" w:cs="Arial"/>
          <w:sz w:val="20"/>
          <w:szCs w:val="20"/>
        </w:rPr>
        <w:t xml:space="preserve"> </w:t>
      </w:r>
      <w:proofErr w:type="spellStart"/>
      <w:r w:rsidR="00897502" w:rsidRPr="002369BD">
        <w:rPr>
          <w:rFonts w:ascii="Arial" w:hAnsi="Arial" w:cs="Arial"/>
          <w:i/>
          <w:sz w:val="20"/>
          <w:szCs w:val="20"/>
          <w:lang w:val="fr-FR"/>
        </w:rPr>
        <w:t>Radiology</w:t>
      </w:r>
      <w:proofErr w:type="spellEnd"/>
      <w:r w:rsidRPr="002369BD">
        <w:rPr>
          <w:rFonts w:ascii="Arial" w:hAnsi="Arial" w:cs="Arial"/>
          <w:sz w:val="20"/>
          <w:szCs w:val="20"/>
          <w:lang w:val="fr-FR"/>
        </w:rPr>
        <w:t xml:space="preserve">.  </w:t>
      </w:r>
      <w:proofErr w:type="gramStart"/>
      <w:r w:rsidR="00897502" w:rsidRPr="002369BD">
        <w:rPr>
          <w:rFonts w:ascii="Arial" w:hAnsi="Arial" w:cs="Arial"/>
          <w:sz w:val="20"/>
          <w:szCs w:val="20"/>
          <w:lang w:val="fr-FR"/>
        </w:rPr>
        <w:t>2004;</w:t>
      </w:r>
      <w:proofErr w:type="gramEnd"/>
      <w:r w:rsidR="00A268C6" w:rsidRPr="002369BD">
        <w:rPr>
          <w:rFonts w:ascii="Arial" w:hAnsi="Arial" w:cs="Arial"/>
          <w:sz w:val="20"/>
          <w:szCs w:val="20"/>
          <w:lang w:val="fr-FR"/>
        </w:rPr>
        <w:t xml:space="preserve"> </w:t>
      </w:r>
      <w:r w:rsidR="00897502" w:rsidRPr="002369BD">
        <w:rPr>
          <w:rFonts w:ascii="Arial" w:hAnsi="Arial" w:cs="Arial"/>
          <w:sz w:val="20"/>
          <w:szCs w:val="20"/>
          <w:lang w:val="fr-FR"/>
        </w:rPr>
        <w:t xml:space="preserve">232:527–33. </w:t>
      </w:r>
    </w:p>
    <w:p w14:paraId="2AAE86E1" w14:textId="19A4AF8B" w:rsidR="004C27EE" w:rsidRDefault="00256554"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lang w:val="fr-FR"/>
        </w:rPr>
        <w:t>1</w:t>
      </w:r>
      <w:r w:rsidR="002D2E42">
        <w:rPr>
          <w:rFonts w:ascii="Arial" w:hAnsi="Arial" w:cs="Arial"/>
          <w:sz w:val="20"/>
          <w:szCs w:val="20"/>
          <w:lang w:val="fr-FR"/>
        </w:rPr>
        <w:t>3</w:t>
      </w:r>
      <w:r w:rsidRPr="002369BD">
        <w:rPr>
          <w:rFonts w:ascii="Arial" w:hAnsi="Arial" w:cs="Arial"/>
          <w:sz w:val="20"/>
          <w:szCs w:val="20"/>
          <w:lang w:val="fr-FR"/>
        </w:rPr>
        <w:t>.</w:t>
      </w:r>
      <w:r w:rsidR="00897502" w:rsidRPr="002369BD">
        <w:rPr>
          <w:rFonts w:ascii="Arial" w:hAnsi="Arial" w:cs="Arial"/>
          <w:sz w:val="20"/>
          <w:szCs w:val="20"/>
          <w:lang w:val="fr-FR"/>
        </w:rPr>
        <w:t xml:space="preserve">de </w:t>
      </w:r>
      <w:proofErr w:type="spellStart"/>
      <w:r w:rsidR="00897502" w:rsidRPr="002369BD">
        <w:rPr>
          <w:rFonts w:ascii="Arial" w:hAnsi="Arial" w:cs="Arial"/>
          <w:sz w:val="20"/>
          <w:szCs w:val="20"/>
          <w:lang w:val="fr-FR"/>
        </w:rPr>
        <w:t>Geus-Oei</w:t>
      </w:r>
      <w:proofErr w:type="spellEnd"/>
      <w:r w:rsidR="00897502" w:rsidRPr="002369BD">
        <w:rPr>
          <w:rFonts w:ascii="Arial" w:hAnsi="Arial" w:cs="Arial"/>
          <w:sz w:val="20"/>
          <w:szCs w:val="20"/>
          <w:lang w:val="fr-FR"/>
        </w:rPr>
        <w:t xml:space="preserve"> L, </w:t>
      </w:r>
      <w:proofErr w:type="spellStart"/>
      <w:r w:rsidR="00897502" w:rsidRPr="002369BD">
        <w:rPr>
          <w:rFonts w:ascii="Arial" w:hAnsi="Arial" w:cs="Arial"/>
          <w:sz w:val="20"/>
          <w:szCs w:val="20"/>
          <w:lang w:val="fr-FR"/>
        </w:rPr>
        <w:t>Oei</w:t>
      </w:r>
      <w:proofErr w:type="spellEnd"/>
      <w:r w:rsidR="00897502" w:rsidRPr="002369BD">
        <w:rPr>
          <w:rFonts w:ascii="Arial" w:hAnsi="Arial" w:cs="Arial"/>
          <w:sz w:val="20"/>
          <w:szCs w:val="20"/>
          <w:lang w:val="fr-FR"/>
        </w:rPr>
        <w:t xml:space="preserve"> H-Y, </w:t>
      </w:r>
      <w:proofErr w:type="spellStart"/>
      <w:r w:rsidR="00897502" w:rsidRPr="002369BD">
        <w:rPr>
          <w:rFonts w:ascii="Arial" w:hAnsi="Arial" w:cs="Arial"/>
          <w:sz w:val="20"/>
          <w:szCs w:val="20"/>
          <w:lang w:val="fr-FR"/>
        </w:rPr>
        <w:t>Hennemann</w:t>
      </w:r>
      <w:proofErr w:type="spellEnd"/>
      <w:r w:rsidR="00897502" w:rsidRPr="002369BD">
        <w:rPr>
          <w:rFonts w:ascii="Arial" w:hAnsi="Arial" w:cs="Arial"/>
          <w:sz w:val="20"/>
          <w:szCs w:val="20"/>
          <w:lang w:val="fr-FR"/>
        </w:rPr>
        <w:t xml:space="preserve"> G, et al. </w:t>
      </w:r>
      <w:r w:rsidR="00897502" w:rsidRPr="002369BD">
        <w:rPr>
          <w:rFonts w:ascii="Arial" w:hAnsi="Arial" w:cs="Arial"/>
          <w:sz w:val="20"/>
          <w:szCs w:val="20"/>
        </w:rPr>
        <w:t xml:space="preserve">Sensitivity of 123I whole-body scanning and thyroglobulin in the detection of metastases or recurrent differentiated thyroid cancer. </w:t>
      </w:r>
      <w:r w:rsidR="00897502" w:rsidRPr="002369BD">
        <w:rPr>
          <w:rFonts w:ascii="Arial" w:hAnsi="Arial" w:cs="Arial"/>
          <w:i/>
          <w:sz w:val="20"/>
          <w:szCs w:val="20"/>
        </w:rPr>
        <w:t xml:space="preserve">Eur J </w:t>
      </w:r>
      <w:proofErr w:type="spellStart"/>
      <w:r w:rsidR="00897502" w:rsidRPr="002369BD">
        <w:rPr>
          <w:rFonts w:ascii="Arial" w:hAnsi="Arial" w:cs="Arial"/>
          <w:i/>
          <w:sz w:val="20"/>
          <w:szCs w:val="20"/>
        </w:rPr>
        <w:t>Nucl</w:t>
      </w:r>
      <w:proofErr w:type="spellEnd"/>
      <w:r w:rsidR="00897502" w:rsidRPr="002369BD">
        <w:rPr>
          <w:rFonts w:ascii="Arial" w:hAnsi="Arial" w:cs="Arial"/>
          <w:i/>
          <w:sz w:val="20"/>
          <w:szCs w:val="20"/>
        </w:rPr>
        <w:t xml:space="preserve"> Med</w:t>
      </w:r>
      <w:r w:rsidR="00A268C6" w:rsidRPr="002369BD">
        <w:rPr>
          <w:rFonts w:ascii="Arial" w:hAnsi="Arial" w:cs="Arial"/>
          <w:sz w:val="20"/>
          <w:szCs w:val="20"/>
        </w:rPr>
        <w:t>.</w:t>
      </w:r>
      <w:r w:rsidR="00897502" w:rsidRPr="002369BD">
        <w:rPr>
          <w:rFonts w:ascii="Arial" w:hAnsi="Arial" w:cs="Arial"/>
          <w:sz w:val="20"/>
          <w:szCs w:val="20"/>
        </w:rPr>
        <w:t xml:space="preserve"> 2002;</w:t>
      </w:r>
      <w:r w:rsidR="00A268C6" w:rsidRPr="002369BD">
        <w:rPr>
          <w:rFonts w:ascii="Arial" w:hAnsi="Arial" w:cs="Arial"/>
          <w:sz w:val="20"/>
          <w:szCs w:val="20"/>
        </w:rPr>
        <w:t xml:space="preserve"> </w:t>
      </w:r>
      <w:r w:rsidR="00897502" w:rsidRPr="002369BD">
        <w:rPr>
          <w:rFonts w:ascii="Arial" w:hAnsi="Arial" w:cs="Arial"/>
          <w:sz w:val="20"/>
          <w:szCs w:val="20"/>
        </w:rPr>
        <w:t>29:768–74.</w:t>
      </w:r>
    </w:p>
    <w:p w14:paraId="5017D6B1" w14:textId="015C84C1" w:rsidR="004C27EE" w:rsidRDefault="002D2E42" w:rsidP="004C27EE">
      <w:pPr>
        <w:tabs>
          <w:tab w:val="left" w:pos="360"/>
          <w:tab w:val="left" w:pos="630"/>
        </w:tabs>
        <w:spacing w:after="0" w:line="240" w:lineRule="auto"/>
        <w:jc w:val="both"/>
        <w:rPr>
          <w:rFonts w:ascii="Arial" w:hAnsi="Arial" w:cs="Arial"/>
          <w:b/>
          <w:sz w:val="20"/>
          <w:szCs w:val="20"/>
        </w:rPr>
      </w:pPr>
      <w:r>
        <w:rPr>
          <w:rFonts w:ascii="Arial" w:hAnsi="Arial" w:cs="Arial"/>
          <w:sz w:val="20"/>
          <w:szCs w:val="20"/>
        </w:rPr>
        <w:t>14.</w:t>
      </w:r>
      <w:r w:rsidR="004C27EE">
        <w:t xml:space="preserve">Grant FD, Treves ST. Thyroid. </w:t>
      </w:r>
      <w:r w:rsidR="004C27EE">
        <w:rPr>
          <w:i/>
          <w:iCs/>
        </w:rPr>
        <w:t>In: Pediatric nuclear medicine and molecular imaging</w:t>
      </w:r>
      <w:r w:rsidR="004C27EE">
        <w:t>. 4th ed. New York, NY: Springer; 2014:99-129.</w:t>
      </w:r>
    </w:p>
    <w:p w14:paraId="355B1CC7" w14:textId="2CB9D2F9" w:rsidR="003953F1" w:rsidRPr="002369BD" w:rsidRDefault="00256554"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1</w:t>
      </w:r>
      <w:r w:rsidR="002D2E42">
        <w:rPr>
          <w:rFonts w:ascii="Arial" w:hAnsi="Arial" w:cs="Arial"/>
          <w:sz w:val="20"/>
          <w:szCs w:val="20"/>
        </w:rPr>
        <w:t>5</w:t>
      </w:r>
      <w:r w:rsidRPr="002369BD">
        <w:rPr>
          <w:rFonts w:ascii="Arial" w:hAnsi="Arial" w:cs="Arial"/>
          <w:sz w:val="20"/>
          <w:szCs w:val="20"/>
        </w:rPr>
        <w:t>.</w:t>
      </w:r>
      <w:r w:rsidR="003953F1" w:rsidRPr="002369BD">
        <w:rPr>
          <w:rFonts w:ascii="Arial" w:hAnsi="Arial" w:cs="Arial"/>
          <w:sz w:val="20"/>
          <w:szCs w:val="20"/>
        </w:rPr>
        <w:t xml:space="preserve">Heston TF, Wahl R.  Molecular imaging in thyroid cancer.  </w:t>
      </w:r>
      <w:r w:rsidR="003953F1" w:rsidRPr="002369BD">
        <w:rPr>
          <w:rFonts w:ascii="Arial" w:hAnsi="Arial" w:cs="Arial"/>
          <w:i/>
          <w:sz w:val="20"/>
          <w:szCs w:val="20"/>
        </w:rPr>
        <w:t>Cancer Imaging</w:t>
      </w:r>
      <w:r w:rsidR="003953F1" w:rsidRPr="002369BD">
        <w:rPr>
          <w:rFonts w:ascii="Arial" w:hAnsi="Arial" w:cs="Arial"/>
          <w:sz w:val="20"/>
          <w:szCs w:val="20"/>
        </w:rPr>
        <w:t xml:space="preserve">.  </w:t>
      </w:r>
      <w:r w:rsidR="00B65185" w:rsidRPr="002369BD">
        <w:rPr>
          <w:rFonts w:ascii="Arial" w:hAnsi="Arial" w:cs="Arial"/>
          <w:sz w:val="20"/>
          <w:szCs w:val="20"/>
        </w:rPr>
        <w:t>2</w:t>
      </w:r>
      <w:r w:rsidR="003953F1" w:rsidRPr="002369BD">
        <w:rPr>
          <w:rFonts w:ascii="Arial" w:hAnsi="Arial" w:cs="Arial"/>
          <w:sz w:val="20"/>
          <w:szCs w:val="20"/>
        </w:rPr>
        <w:t>010; 10:</w:t>
      </w:r>
      <w:r w:rsidR="006472FE" w:rsidRPr="002369BD">
        <w:rPr>
          <w:rFonts w:ascii="Arial" w:hAnsi="Arial" w:cs="Arial"/>
          <w:sz w:val="20"/>
          <w:szCs w:val="20"/>
        </w:rPr>
        <w:t>10-7.</w:t>
      </w:r>
    </w:p>
    <w:p w14:paraId="5FFF1425" w14:textId="673EAA28" w:rsidR="002F0879" w:rsidRPr="002369BD" w:rsidRDefault="00256554"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1</w:t>
      </w:r>
      <w:r w:rsidR="002D2E42">
        <w:rPr>
          <w:rFonts w:ascii="Arial" w:hAnsi="Arial" w:cs="Arial"/>
          <w:sz w:val="20"/>
          <w:szCs w:val="20"/>
        </w:rPr>
        <w:t>6</w:t>
      </w:r>
      <w:r w:rsidRPr="002369BD">
        <w:rPr>
          <w:rFonts w:ascii="Arial" w:hAnsi="Arial" w:cs="Arial"/>
          <w:sz w:val="20"/>
          <w:szCs w:val="20"/>
        </w:rPr>
        <w:t>.</w:t>
      </w:r>
      <w:r w:rsidR="002F0879" w:rsidRPr="002369BD">
        <w:rPr>
          <w:rFonts w:ascii="Arial" w:hAnsi="Arial" w:cs="Arial"/>
          <w:sz w:val="20"/>
          <w:szCs w:val="20"/>
        </w:rPr>
        <w:t>ICRP. Radiation dose to patients from radiopharmaceuticals: addendum 3 to</w:t>
      </w:r>
      <w:r w:rsidR="004F2A12">
        <w:rPr>
          <w:rFonts w:ascii="Arial" w:hAnsi="Arial" w:cs="Arial"/>
          <w:sz w:val="20"/>
          <w:szCs w:val="20"/>
        </w:rPr>
        <w:t xml:space="preserve"> </w:t>
      </w:r>
      <w:r w:rsidR="002F0879" w:rsidRPr="002369BD">
        <w:rPr>
          <w:rFonts w:ascii="Arial" w:hAnsi="Arial" w:cs="Arial"/>
          <w:sz w:val="20"/>
          <w:szCs w:val="20"/>
        </w:rPr>
        <w:t>ICRP Publication 53—ICRP Publication 106. Approved by the Commission in</w:t>
      </w:r>
      <w:r w:rsidR="00FD6802">
        <w:rPr>
          <w:rFonts w:ascii="Arial" w:hAnsi="Arial" w:cs="Arial"/>
          <w:sz w:val="20"/>
          <w:szCs w:val="20"/>
        </w:rPr>
        <w:t xml:space="preserve"> </w:t>
      </w:r>
      <w:r w:rsidR="002F0879" w:rsidRPr="002369BD">
        <w:rPr>
          <w:rFonts w:ascii="Arial" w:hAnsi="Arial" w:cs="Arial"/>
          <w:sz w:val="20"/>
          <w:szCs w:val="20"/>
        </w:rPr>
        <w:t xml:space="preserve">October 2007. </w:t>
      </w:r>
      <w:r w:rsidR="002F0879" w:rsidRPr="002369BD">
        <w:rPr>
          <w:rFonts w:ascii="Arial" w:hAnsi="Arial" w:cs="Arial"/>
          <w:i/>
          <w:sz w:val="20"/>
          <w:szCs w:val="20"/>
        </w:rPr>
        <w:t>Ann ICRP</w:t>
      </w:r>
      <w:r w:rsidR="002F0879" w:rsidRPr="002369BD">
        <w:rPr>
          <w:rFonts w:ascii="Arial" w:hAnsi="Arial" w:cs="Arial"/>
          <w:sz w:val="20"/>
          <w:szCs w:val="20"/>
        </w:rPr>
        <w:t>. 2008;</w:t>
      </w:r>
      <w:r w:rsidR="00B10B62" w:rsidRPr="002369BD">
        <w:rPr>
          <w:rFonts w:ascii="Arial" w:hAnsi="Arial" w:cs="Arial"/>
          <w:sz w:val="20"/>
          <w:szCs w:val="20"/>
        </w:rPr>
        <w:t xml:space="preserve"> </w:t>
      </w:r>
      <w:r w:rsidR="002F0879" w:rsidRPr="002369BD">
        <w:rPr>
          <w:rFonts w:ascii="Arial" w:hAnsi="Arial" w:cs="Arial"/>
          <w:sz w:val="20"/>
          <w:szCs w:val="20"/>
        </w:rPr>
        <w:t>38:1–197</w:t>
      </w:r>
      <w:r w:rsidR="001319FE" w:rsidRPr="002369BD">
        <w:rPr>
          <w:rFonts w:ascii="Arial" w:hAnsi="Arial" w:cs="Arial"/>
          <w:sz w:val="20"/>
          <w:szCs w:val="20"/>
        </w:rPr>
        <w:t>.</w:t>
      </w:r>
    </w:p>
    <w:p w14:paraId="3CE89EDD" w14:textId="69202481" w:rsidR="00565B40" w:rsidRPr="002369BD" w:rsidRDefault="00B10B62" w:rsidP="00CF38F9">
      <w:pPr>
        <w:tabs>
          <w:tab w:val="left" w:pos="360"/>
          <w:tab w:val="left" w:pos="630"/>
        </w:tabs>
        <w:spacing w:after="0" w:line="240" w:lineRule="auto"/>
        <w:rPr>
          <w:rFonts w:ascii="Arial" w:hAnsi="Arial" w:cs="Arial"/>
          <w:sz w:val="20"/>
          <w:szCs w:val="20"/>
        </w:rPr>
      </w:pPr>
      <w:r w:rsidRPr="00D01E5F">
        <w:rPr>
          <w:rFonts w:ascii="Arial" w:hAnsi="Arial" w:cs="Arial"/>
          <w:sz w:val="20"/>
          <w:szCs w:val="20"/>
        </w:rPr>
        <w:t>1</w:t>
      </w:r>
      <w:r w:rsidR="002D2E42" w:rsidRPr="00D01E5F">
        <w:rPr>
          <w:rFonts w:ascii="Arial" w:hAnsi="Arial" w:cs="Arial"/>
          <w:sz w:val="20"/>
          <w:szCs w:val="20"/>
        </w:rPr>
        <w:t>7</w:t>
      </w:r>
      <w:r w:rsidRPr="00D01E5F">
        <w:rPr>
          <w:rFonts w:ascii="Arial" w:hAnsi="Arial" w:cs="Arial"/>
          <w:sz w:val="20"/>
          <w:szCs w:val="20"/>
        </w:rPr>
        <w:t>.</w:t>
      </w:r>
      <w:r w:rsidR="00EE23FA" w:rsidRPr="00D01E5F">
        <w:rPr>
          <w:rFonts w:ascii="Arial" w:hAnsi="Arial" w:cs="Arial"/>
          <w:sz w:val="20"/>
          <w:szCs w:val="20"/>
        </w:rPr>
        <w:t xml:space="preserve"> </w:t>
      </w:r>
      <w:r w:rsidR="00565B40" w:rsidRPr="00D01E5F">
        <w:rPr>
          <w:rFonts w:ascii="Arial" w:hAnsi="Arial" w:cs="Arial"/>
          <w:sz w:val="20"/>
          <w:szCs w:val="20"/>
        </w:rPr>
        <w:t xml:space="preserve">Iwata M, </w:t>
      </w:r>
      <w:proofErr w:type="spellStart"/>
      <w:r w:rsidR="00565B40" w:rsidRPr="00D01E5F">
        <w:rPr>
          <w:rFonts w:ascii="Arial" w:hAnsi="Arial" w:cs="Arial"/>
          <w:sz w:val="20"/>
          <w:szCs w:val="20"/>
        </w:rPr>
        <w:t>Kasagi</w:t>
      </w:r>
      <w:proofErr w:type="spellEnd"/>
      <w:r w:rsidR="00565B40" w:rsidRPr="00D01E5F">
        <w:rPr>
          <w:rFonts w:ascii="Arial" w:hAnsi="Arial" w:cs="Arial"/>
          <w:sz w:val="20"/>
          <w:szCs w:val="20"/>
        </w:rPr>
        <w:t xml:space="preserve"> K, Misaki T et al. </w:t>
      </w:r>
      <w:r w:rsidR="00565B40" w:rsidRPr="002369BD">
        <w:rPr>
          <w:rFonts w:ascii="Arial" w:hAnsi="Arial" w:cs="Arial"/>
          <w:sz w:val="20"/>
          <w:szCs w:val="20"/>
        </w:rPr>
        <w:t>Comparison of whole-body 18F-FDG PET, 99mTc-MIBI SPECT, and post-therapeutic 131I-Na scintigraphy in the detection of metastatic thyroid ca</w:t>
      </w:r>
      <w:r w:rsidRPr="002369BD">
        <w:rPr>
          <w:rFonts w:ascii="Arial" w:hAnsi="Arial" w:cs="Arial"/>
          <w:sz w:val="20"/>
          <w:szCs w:val="20"/>
        </w:rPr>
        <w:t>n</w:t>
      </w:r>
      <w:r w:rsidR="00565B40" w:rsidRPr="002369BD">
        <w:rPr>
          <w:rFonts w:ascii="Arial" w:hAnsi="Arial" w:cs="Arial"/>
          <w:sz w:val="20"/>
          <w:szCs w:val="20"/>
        </w:rPr>
        <w:t xml:space="preserve">cer. </w:t>
      </w:r>
      <w:r w:rsidR="00565B40" w:rsidRPr="002369BD">
        <w:rPr>
          <w:rFonts w:ascii="Arial" w:hAnsi="Arial" w:cs="Arial"/>
          <w:i/>
          <w:sz w:val="20"/>
          <w:szCs w:val="20"/>
        </w:rPr>
        <w:t xml:space="preserve">Eur J </w:t>
      </w:r>
      <w:proofErr w:type="spellStart"/>
      <w:r w:rsidR="00565B40" w:rsidRPr="002369BD">
        <w:rPr>
          <w:rFonts w:ascii="Arial" w:hAnsi="Arial" w:cs="Arial"/>
          <w:i/>
          <w:sz w:val="20"/>
          <w:szCs w:val="20"/>
        </w:rPr>
        <w:t>Nucl</w:t>
      </w:r>
      <w:proofErr w:type="spellEnd"/>
      <w:r w:rsidR="00565B40" w:rsidRPr="002369BD">
        <w:rPr>
          <w:rFonts w:ascii="Arial" w:hAnsi="Arial" w:cs="Arial"/>
          <w:i/>
          <w:sz w:val="20"/>
          <w:szCs w:val="20"/>
        </w:rPr>
        <w:t xml:space="preserve"> Med Mol Imaging</w:t>
      </w:r>
      <w:r w:rsidR="00565B40" w:rsidRPr="002369BD">
        <w:rPr>
          <w:rFonts w:ascii="Arial" w:hAnsi="Arial" w:cs="Arial"/>
          <w:sz w:val="20"/>
          <w:szCs w:val="20"/>
        </w:rPr>
        <w:t>. 2004;</w:t>
      </w:r>
      <w:r w:rsidR="00D21655" w:rsidRPr="002369BD">
        <w:rPr>
          <w:rFonts w:ascii="Arial" w:hAnsi="Arial" w:cs="Arial"/>
          <w:sz w:val="20"/>
          <w:szCs w:val="20"/>
        </w:rPr>
        <w:t xml:space="preserve"> </w:t>
      </w:r>
      <w:r w:rsidR="00565B40" w:rsidRPr="002369BD">
        <w:rPr>
          <w:rFonts w:ascii="Arial" w:hAnsi="Arial" w:cs="Arial"/>
          <w:sz w:val="20"/>
          <w:szCs w:val="20"/>
        </w:rPr>
        <w:t xml:space="preserve">31:491–8. </w:t>
      </w:r>
    </w:p>
    <w:p w14:paraId="261F8FAD" w14:textId="633C82D9" w:rsidR="00FE05DB" w:rsidRDefault="00B10B62"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1</w:t>
      </w:r>
      <w:r w:rsidR="002D2E42">
        <w:rPr>
          <w:rFonts w:ascii="Arial" w:hAnsi="Arial" w:cs="Arial"/>
          <w:sz w:val="20"/>
          <w:szCs w:val="20"/>
        </w:rPr>
        <w:t>8</w:t>
      </w:r>
      <w:r w:rsidRPr="002369BD">
        <w:rPr>
          <w:rFonts w:ascii="Arial" w:hAnsi="Arial" w:cs="Arial"/>
          <w:sz w:val="20"/>
          <w:szCs w:val="20"/>
        </w:rPr>
        <w:t>.</w:t>
      </w:r>
      <w:r w:rsidR="00FE05DB" w:rsidRPr="002369BD">
        <w:rPr>
          <w:rFonts w:ascii="Arial" w:hAnsi="Arial" w:cs="Arial"/>
          <w:sz w:val="20"/>
          <w:szCs w:val="20"/>
        </w:rPr>
        <w:t xml:space="preserve">Jo K, Lim DJ.  Clinical implications of anti-thyroglobulin antibody measurement before surgery in thyroid cancer.  </w:t>
      </w:r>
      <w:r w:rsidR="00D33958" w:rsidRPr="002369BD">
        <w:rPr>
          <w:rFonts w:ascii="Arial" w:hAnsi="Arial" w:cs="Arial"/>
          <w:i/>
          <w:sz w:val="20"/>
          <w:szCs w:val="20"/>
        </w:rPr>
        <w:t>Korean J Int Med</w:t>
      </w:r>
      <w:r w:rsidR="00D33958" w:rsidRPr="002369BD">
        <w:rPr>
          <w:rFonts w:ascii="Arial" w:hAnsi="Arial" w:cs="Arial"/>
          <w:sz w:val="20"/>
          <w:szCs w:val="20"/>
        </w:rPr>
        <w:t>.  2018.  33:1050-7.</w:t>
      </w:r>
    </w:p>
    <w:p w14:paraId="6ABB70E2" w14:textId="4B0090EF" w:rsidR="00C437F7" w:rsidRDefault="00C437F7" w:rsidP="00CF38F9">
      <w:pPr>
        <w:tabs>
          <w:tab w:val="left" w:pos="360"/>
          <w:tab w:val="left" w:pos="630"/>
        </w:tabs>
        <w:spacing w:after="0" w:line="240" w:lineRule="auto"/>
        <w:rPr>
          <w:rFonts w:ascii="Arial" w:hAnsi="Arial" w:cs="Arial"/>
          <w:sz w:val="20"/>
          <w:szCs w:val="20"/>
        </w:rPr>
      </w:pPr>
      <w:r w:rsidRPr="00AA496C">
        <w:rPr>
          <w:rFonts w:ascii="Arial" w:hAnsi="Arial" w:cs="Arial"/>
          <w:sz w:val="20"/>
          <w:szCs w:val="20"/>
        </w:rPr>
        <w:t>1</w:t>
      </w:r>
      <w:r w:rsidR="002D2E42" w:rsidRPr="00AA496C">
        <w:rPr>
          <w:rFonts w:ascii="Arial" w:hAnsi="Arial" w:cs="Arial"/>
          <w:sz w:val="20"/>
          <w:szCs w:val="20"/>
        </w:rPr>
        <w:t>9</w:t>
      </w:r>
      <w:r w:rsidRPr="00AA496C">
        <w:rPr>
          <w:rFonts w:ascii="Arial" w:hAnsi="Arial" w:cs="Arial"/>
          <w:sz w:val="20"/>
          <w:szCs w:val="20"/>
        </w:rPr>
        <w:t>.</w:t>
      </w:r>
      <w:bookmarkStart w:id="5" w:name="_Hlk4445168"/>
      <w:r w:rsidRPr="00AA496C">
        <w:rPr>
          <w:rFonts w:ascii="Arial" w:hAnsi="Arial" w:cs="Arial"/>
          <w:sz w:val="20"/>
          <w:szCs w:val="20"/>
        </w:rPr>
        <w:t xml:space="preserve">Kang SW, Yap ZZ, Lee CR, et al.  </w:t>
      </w:r>
      <w:r w:rsidRPr="002369BD">
        <w:rPr>
          <w:rFonts w:ascii="Arial" w:hAnsi="Arial" w:cs="Arial"/>
          <w:sz w:val="20"/>
          <w:szCs w:val="20"/>
        </w:rPr>
        <w:t xml:space="preserve">Pattern of urine iodine excretion with low </w:t>
      </w:r>
      <w:proofErr w:type="spellStart"/>
      <w:r w:rsidRPr="002369BD">
        <w:rPr>
          <w:rFonts w:ascii="Arial" w:hAnsi="Arial" w:cs="Arial"/>
          <w:sz w:val="20"/>
          <w:szCs w:val="20"/>
        </w:rPr>
        <w:t>idodine</w:t>
      </w:r>
      <w:proofErr w:type="spellEnd"/>
      <w:r w:rsidRPr="002369BD">
        <w:rPr>
          <w:rFonts w:ascii="Arial" w:hAnsi="Arial" w:cs="Arial"/>
          <w:sz w:val="20"/>
          <w:szCs w:val="20"/>
        </w:rPr>
        <w:t xml:space="preserve"> diet during preparation</w:t>
      </w:r>
      <w:r>
        <w:rPr>
          <w:rFonts w:ascii="Arial" w:hAnsi="Arial" w:cs="Arial"/>
          <w:sz w:val="20"/>
          <w:szCs w:val="20"/>
        </w:rPr>
        <w:t xml:space="preserve"> for radioactive iodine ablation in patients with thyroid cancer.  </w:t>
      </w:r>
      <w:r>
        <w:rPr>
          <w:rFonts w:ascii="Arial" w:hAnsi="Arial" w:cs="Arial"/>
          <w:i/>
          <w:sz w:val="20"/>
          <w:szCs w:val="20"/>
        </w:rPr>
        <w:t>Head Neck</w:t>
      </w:r>
      <w:r>
        <w:rPr>
          <w:rFonts w:ascii="Arial" w:hAnsi="Arial" w:cs="Arial"/>
          <w:sz w:val="20"/>
          <w:szCs w:val="20"/>
        </w:rPr>
        <w:t>.  2019; 41:381-7.</w:t>
      </w:r>
      <w:bookmarkEnd w:id="5"/>
    </w:p>
    <w:p w14:paraId="34CCAD60" w14:textId="0EF3CA9F" w:rsidR="00B86459" w:rsidRPr="00B86459" w:rsidRDefault="002D2E42" w:rsidP="00CF38F9">
      <w:pPr>
        <w:tabs>
          <w:tab w:val="left" w:pos="360"/>
          <w:tab w:val="left" w:pos="630"/>
        </w:tabs>
        <w:spacing w:after="0" w:line="240" w:lineRule="auto"/>
        <w:rPr>
          <w:rFonts w:ascii="Arial" w:hAnsi="Arial" w:cs="Arial"/>
          <w:sz w:val="20"/>
          <w:szCs w:val="20"/>
        </w:rPr>
      </w:pPr>
      <w:r>
        <w:rPr>
          <w:rFonts w:ascii="Arial" w:hAnsi="Arial" w:cs="Arial"/>
          <w:sz w:val="20"/>
          <w:szCs w:val="20"/>
        </w:rPr>
        <w:t xml:space="preserve">20. </w:t>
      </w:r>
      <w:proofErr w:type="spellStart"/>
      <w:r w:rsidR="00B86459">
        <w:rPr>
          <w:rFonts w:ascii="Arial" w:hAnsi="Arial" w:cs="Arial"/>
          <w:sz w:val="20"/>
          <w:szCs w:val="20"/>
        </w:rPr>
        <w:t>Kowalska</w:t>
      </w:r>
      <w:proofErr w:type="spellEnd"/>
      <w:r w:rsidR="00B86459">
        <w:rPr>
          <w:rFonts w:ascii="Arial" w:hAnsi="Arial" w:cs="Arial"/>
          <w:sz w:val="20"/>
          <w:szCs w:val="20"/>
        </w:rPr>
        <w:t xml:space="preserve"> A, </w:t>
      </w:r>
      <w:proofErr w:type="spellStart"/>
      <w:r w:rsidR="00B86459">
        <w:rPr>
          <w:rFonts w:ascii="Arial" w:hAnsi="Arial" w:cs="Arial"/>
          <w:sz w:val="20"/>
          <w:szCs w:val="20"/>
        </w:rPr>
        <w:t>Palyga</w:t>
      </w:r>
      <w:proofErr w:type="spellEnd"/>
      <w:r w:rsidR="00B86459">
        <w:rPr>
          <w:rFonts w:ascii="Arial" w:hAnsi="Arial" w:cs="Arial"/>
          <w:sz w:val="20"/>
          <w:szCs w:val="20"/>
        </w:rPr>
        <w:t xml:space="preserve"> I, </w:t>
      </w:r>
      <w:proofErr w:type="spellStart"/>
      <w:r w:rsidR="00B86459">
        <w:rPr>
          <w:rFonts w:ascii="Arial" w:hAnsi="Arial" w:cs="Arial"/>
          <w:sz w:val="20"/>
          <w:szCs w:val="20"/>
        </w:rPr>
        <w:t>Gasior-Perczak</w:t>
      </w:r>
      <w:proofErr w:type="spellEnd"/>
      <w:r w:rsidR="00B86459">
        <w:rPr>
          <w:rFonts w:ascii="Arial" w:hAnsi="Arial" w:cs="Arial"/>
          <w:sz w:val="20"/>
          <w:szCs w:val="20"/>
        </w:rPr>
        <w:t xml:space="preserve"> D.  The cut-off level of recombinant human TSH-stimulated thyroglobulin in the follow-up of patients with differentiated thyroid cancer.  </w:t>
      </w:r>
      <w:proofErr w:type="spellStart"/>
      <w:r w:rsidR="00B86459">
        <w:rPr>
          <w:rFonts w:ascii="Arial" w:hAnsi="Arial" w:cs="Arial"/>
          <w:i/>
          <w:iCs/>
          <w:sz w:val="20"/>
          <w:szCs w:val="20"/>
        </w:rPr>
        <w:t>PLoS</w:t>
      </w:r>
      <w:proofErr w:type="spellEnd"/>
      <w:r w:rsidR="00B86459">
        <w:rPr>
          <w:rFonts w:ascii="Arial" w:hAnsi="Arial" w:cs="Arial"/>
          <w:i/>
          <w:iCs/>
          <w:sz w:val="20"/>
          <w:szCs w:val="20"/>
        </w:rPr>
        <w:t xml:space="preserve"> One.  </w:t>
      </w:r>
      <w:r w:rsidR="00B86459">
        <w:rPr>
          <w:rFonts w:ascii="Arial" w:hAnsi="Arial" w:cs="Arial"/>
          <w:sz w:val="20"/>
          <w:szCs w:val="20"/>
        </w:rPr>
        <w:t>2015; 10:</w:t>
      </w:r>
    </w:p>
    <w:p w14:paraId="0321CC96" w14:textId="521EC446" w:rsidR="00B635B5" w:rsidRPr="002369BD" w:rsidRDefault="002D2E42" w:rsidP="00CF38F9">
      <w:pPr>
        <w:tabs>
          <w:tab w:val="left" w:pos="360"/>
          <w:tab w:val="left" w:pos="630"/>
        </w:tabs>
        <w:spacing w:after="0" w:line="240" w:lineRule="auto"/>
        <w:rPr>
          <w:rFonts w:ascii="Arial" w:hAnsi="Arial" w:cs="Arial"/>
          <w:sz w:val="20"/>
          <w:szCs w:val="20"/>
        </w:rPr>
      </w:pPr>
      <w:r>
        <w:rPr>
          <w:rFonts w:ascii="Arial" w:hAnsi="Arial" w:cs="Arial"/>
          <w:sz w:val="20"/>
          <w:szCs w:val="20"/>
        </w:rPr>
        <w:t>21</w:t>
      </w:r>
      <w:r w:rsidR="00CC1E06" w:rsidRPr="002369BD">
        <w:rPr>
          <w:rFonts w:ascii="Arial" w:hAnsi="Arial" w:cs="Arial"/>
          <w:sz w:val="20"/>
          <w:szCs w:val="20"/>
        </w:rPr>
        <w:t>.</w:t>
      </w:r>
      <w:r w:rsidR="00820EB4" w:rsidRPr="002369BD">
        <w:rPr>
          <w:rFonts w:ascii="Arial" w:hAnsi="Arial" w:cs="Arial"/>
          <w:sz w:val="20"/>
          <w:szCs w:val="20"/>
        </w:rPr>
        <w:t xml:space="preserve">Lakshmanan M, Schaffer A, Robbins J, et al. A simplified low-iodine diet in I-131 scanning and therapy of thyroid cancer. </w:t>
      </w:r>
      <w:r w:rsidR="00820EB4" w:rsidRPr="002369BD">
        <w:rPr>
          <w:rFonts w:ascii="Arial" w:hAnsi="Arial" w:cs="Arial"/>
          <w:i/>
          <w:sz w:val="20"/>
          <w:szCs w:val="20"/>
        </w:rPr>
        <w:t xml:space="preserve">Clin </w:t>
      </w:r>
      <w:proofErr w:type="spellStart"/>
      <w:r w:rsidR="00820EB4" w:rsidRPr="002369BD">
        <w:rPr>
          <w:rFonts w:ascii="Arial" w:hAnsi="Arial" w:cs="Arial"/>
          <w:i/>
          <w:sz w:val="20"/>
          <w:szCs w:val="20"/>
        </w:rPr>
        <w:t>Nucl</w:t>
      </w:r>
      <w:proofErr w:type="spellEnd"/>
      <w:r w:rsidR="00820EB4" w:rsidRPr="002369BD">
        <w:rPr>
          <w:rFonts w:ascii="Arial" w:hAnsi="Arial" w:cs="Arial"/>
          <w:i/>
          <w:sz w:val="20"/>
          <w:szCs w:val="20"/>
        </w:rPr>
        <w:t xml:space="preserve"> Med</w:t>
      </w:r>
      <w:r w:rsidR="00CC1E06" w:rsidRPr="002369BD">
        <w:rPr>
          <w:rFonts w:ascii="Arial" w:hAnsi="Arial" w:cs="Arial"/>
          <w:sz w:val="20"/>
          <w:szCs w:val="20"/>
        </w:rPr>
        <w:t>.</w:t>
      </w:r>
      <w:r w:rsidR="00820EB4" w:rsidRPr="002369BD">
        <w:rPr>
          <w:rFonts w:ascii="Arial" w:hAnsi="Arial" w:cs="Arial"/>
          <w:sz w:val="20"/>
          <w:szCs w:val="20"/>
        </w:rPr>
        <w:t xml:space="preserve"> 1988; 13:866–8. </w:t>
      </w:r>
      <w:r>
        <w:rPr>
          <w:rFonts w:ascii="Arial" w:hAnsi="Arial" w:cs="Arial"/>
          <w:sz w:val="20"/>
          <w:szCs w:val="20"/>
        </w:rPr>
        <w:t>20</w:t>
      </w:r>
      <w:r w:rsidR="001E2957">
        <w:rPr>
          <w:rFonts w:ascii="Arial" w:hAnsi="Arial" w:cs="Arial"/>
          <w:sz w:val="20"/>
          <w:szCs w:val="20"/>
        </w:rPr>
        <w:t>9</w:t>
      </w:r>
      <w:r w:rsidR="000254D3" w:rsidRPr="002369BD">
        <w:rPr>
          <w:rFonts w:ascii="Arial" w:hAnsi="Arial" w:cs="Arial"/>
          <w:sz w:val="20"/>
          <w:szCs w:val="20"/>
        </w:rPr>
        <w:t>.</w:t>
      </w:r>
      <w:r w:rsidR="00B635B5" w:rsidRPr="002369BD">
        <w:rPr>
          <w:rFonts w:ascii="Arial" w:hAnsi="Arial" w:cs="Arial"/>
          <w:sz w:val="20"/>
          <w:szCs w:val="20"/>
        </w:rPr>
        <w:t xml:space="preserve">Li JH, He ZH, Bansal V, et al.  Low iodine diet in differentiated thyroid cancer: a review.  </w:t>
      </w:r>
      <w:r w:rsidR="00B635B5" w:rsidRPr="002369BD">
        <w:rPr>
          <w:rFonts w:ascii="Arial" w:hAnsi="Arial" w:cs="Arial"/>
          <w:i/>
          <w:sz w:val="20"/>
          <w:szCs w:val="20"/>
        </w:rPr>
        <w:t>Clin Endocrinol</w:t>
      </w:r>
      <w:r w:rsidR="00B635B5" w:rsidRPr="002369BD">
        <w:rPr>
          <w:rFonts w:ascii="Arial" w:hAnsi="Arial" w:cs="Arial"/>
          <w:sz w:val="20"/>
          <w:szCs w:val="20"/>
        </w:rPr>
        <w:t>.  2016; 84:</w:t>
      </w:r>
      <w:r w:rsidR="00B87B84" w:rsidRPr="002369BD">
        <w:rPr>
          <w:rFonts w:ascii="Arial" w:hAnsi="Arial" w:cs="Arial"/>
          <w:sz w:val="20"/>
          <w:szCs w:val="20"/>
        </w:rPr>
        <w:t>3-12.</w:t>
      </w:r>
    </w:p>
    <w:p w14:paraId="5F420A15" w14:textId="6E28F1C4" w:rsidR="00C84C63" w:rsidRPr="002369BD" w:rsidRDefault="001E2957" w:rsidP="00CF38F9">
      <w:pPr>
        <w:tabs>
          <w:tab w:val="left" w:pos="360"/>
          <w:tab w:val="left" w:pos="630"/>
        </w:tabs>
        <w:spacing w:after="0" w:line="240" w:lineRule="auto"/>
        <w:rPr>
          <w:rFonts w:ascii="Arial" w:hAnsi="Arial" w:cs="Arial"/>
          <w:sz w:val="20"/>
          <w:szCs w:val="20"/>
        </w:rPr>
      </w:pPr>
      <w:r>
        <w:rPr>
          <w:rFonts w:ascii="Arial" w:hAnsi="Arial" w:cs="Arial"/>
          <w:sz w:val="20"/>
          <w:szCs w:val="20"/>
        </w:rPr>
        <w:t>2</w:t>
      </w:r>
      <w:r w:rsidR="00603B9E">
        <w:rPr>
          <w:rFonts w:ascii="Arial" w:hAnsi="Arial" w:cs="Arial"/>
          <w:sz w:val="20"/>
          <w:szCs w:val="20"/>
        </w:rPr>
        <w:t>2</w:t>
      </w:r>
      <w:r w:rsidR="000254D3" w:rsidRPr="002369BD">
        <w:rPr>
          <w:rFonts w:ascii="Arial" w:hAnsi="Arial" w:cs="Arial"/>
          <w:sz w:val="20"/>
          <w:szCs w:val="20"/>
        </w:rPr>
        <w:t>.</w:t>
      </w:r>
      <w:r w:rsidR="00C84C63" w:rsidRPr="002369BD">
        <w:rPr>
          <w:rFonts w:ascii="Arial" w:hAnsi="Arial" w:cs="Arial"/>
          <w:sz w:val="20"/>
          <w:szCs w:val="20"/>
        </w:rPr>
        <w:t xml:space="preserve">Kulkarni K, Atkins FB, Van Nostrand D. The utility of SPECT-CT in differentiated thyroid cancer.   In: </w:t>
      </w:r>
      <w:r w:rsidR="00C84C63" w:rsidRPr="002369BD">
        <w:rPr>
          <w:rFonts w:ascii="Arial" w:hAnsi="Arial" w:cs="Arial"/>
          <w:i/>
          <w:sz w:val="20"/>
          <w:szCs w:val="20"/>
        </w:rPr>
        <w:t>Thyroid cancer: a comprehensive guide to clinical management</w:t>
      </w:r>
      <w:r w:rsidR="00C84C63" w:rsidRPr="002369BD">
        <w:rPr>
          <w:rFonts w:ascii="Arial" w:hAnsi="Arial" w:cs="Arial"/>
          <w:sz w:val="20"/>
          <w:szCs w:val="20"/>
        </w:rPr>
        <w:t>. 3rd ed. New York, NY: Springer</w:t>
      </w:r>
      <w:r w:rsidR="000254D3" w:rsidRPr="002369BD">
        <w:rPr>
          <w:rFonts w:ascii="Arial" w:hAnsi="Arial" w:cs="Arial"/>
          <w:sz w:val="20"/>
          <w:szCs w:val="20"/>
        </w:rPr>
        <w:t xml:space="preserve">.  </w:t>
      </w:r>
      <w:r w:rsidR="00C84C63" w:rsidRPr="002369BD">
        <w:rPr>
          <w:rFonts w:ascii="Arial" w:hAnsi="Arial" w:cs="Arial"/>
          <w:sz w:val="20"/>
          <w:szCs w:val="20"/>
        </w:rPr>
        <w:t>2016:</w:t>
      </w:r>
      <w:r w:rsidR="000254D3" w:rsidRPr="002369BD">
        <w:rPr>
          <w:rFonts w:ascii="Arial" w:hAnsi="Arial" w:cs="Arial"/>
          <w:sz w:val="20"/>
          <w:szCs w:val="20"/>
        </w:rPr>
        <w:t xml:space="preserve"> </w:t>
      </w:r>
      <w:r w:rsidR="00C84C63" w:rsidRPr="002369BD">
        <w:rPr>
          <w:rFonts w:ascii="Arial" w:hAnsi="Arial" w:cs="Arial"/>
          <w:sz w:val="20"/>
          <w:szCs w:val="20"/>
        </w:rPr>
        <w:t>205-14.</w:t>
      </w:r>
    </w:p>
    <w:p w14:paraId="4690E646" w14:textId="48B8FA08" w:rsidR="00BA68BD" w:rsidRPr="002369BD" w:rsidRDefault="00EE23FA" w:rsidP="00CF38F9">
      <w:pPr>
        <w:tabs>
          <w:tab w:val="left" w:pos="360"/>
          <w:tab w:val="left" w:pos="630"/>
        </w:tabs>
        <w:spacing w:after="0" w:line="240" w:lineRule="auto"/>
        <w:rPr>
          <w:rFonts w:ascii="Arial" w:hAnsi="Arial" w:cs="Arial"/>
          <w:sz w:val="20"/>
          <w:szCs w:val="20"/>
        </w:rPr>
      </w:pPr>
      <w:r w:rsidRPr="00D01E5F">
        <w:rPr>
          <w:rFonts w:ascii="Arial" w:hAnsi="Arial" w:cs="Arial"/>
          <w:sz w:val="20"/>
          <w:szCs w:val="20"/>
        </w:rPr>
        <w:t>2</w:t>
      </w:r>
      <w:r w:rsidR="00603B9E" w:rsidRPr="00D01E5F">
        <w:rPr>
          <w:rFonts w:ascii="Arial" w:hAnsi="Arial" w:cs="Arial"/>
          <w:sz w:val="20"/>
          <w:szCs w:val="20"/>
        </w:rPr>
        <w:t>3</w:t>
      </w:r>
      <w:r w:rsidR="00F75FB5" w:rsidRPr="00D01E5F">
        <w:rPr>
          <w:rFonts w:ascii="Arial" w:hAnsi="Arial" w:cs="Arial"/>
          <w:sz w:val="20"/>
          <w:szCs w:val="20"/>
        </w:rPr>
        <w:t>.</w:t>
      </w:r>
      <w:r w:rsidR="00BA68BD" w:rsidRPr="00D01E5F">
        <w:rPr>
          <w:rFonts w:ascii="Arial" w:hAnsi="Arial" w:cs="Arial"/>
          <w:sz w:val="20"/>
          <w:szCs w:val="20"/>
        </w:rPr>
        <w:t xml:space="preserve">Liu H, </w:t>
      </w:r>
      <w:r w:rsidR="00BE204B" w:rsidRPr="00D01E5F">
        <w:rPr>
          <w:rFonts w:ascii="Arial" w:hAnsi="Arial" w:cs="Arial"/>
          <w:sz w:val="20"/>
          <w:szCs w:val="20"/>
        </w:rPr>
        <w:t xml:space="preserve">Wang X, Yang R, et al.  </w:t>
      </w:r>
      <w:r w:rsidR="00BE204B" w:rsidRPr="002369BD">
        <w:rPr>
          <w:rFonts w:ascii="Arial" w:hAnsi="Arial" w:cs="Arial"/>
          <w:sz w:val="20"/>
          <w:szCs w:val="20"/>
        </w:rPr>
        <w:t xml:space="preserve">Recent development of nuclear molecular imaging in thyroid cancer.  </w:t>
      </w:r>
      <w:r w:rsidR="00BE204B" w:rsidRPr="002369BD">
        <w:rPr>
          <w:rFonts w:ascii="Arial" w:hAnsi="Arial" w:cs="Arial"/>
          <w:i/>
          <w:sz w:val="20"/>
          <w:szCs w:val="20"/>
        </w:rPr>
        <w:t>Biomed Research International</w:t>
      </w:r>
      <w:r w:rsidR="00BE204B" w:rsidRPr="002369BD">
        <w:rPr>
          <w:rFonts w:ascii="Arial" w:hAnsi="Arial" w:cs="Arial"/>
          <w:sz w:val="20"/>
          <w:szCs w:val="20"/>
        </w:rPr>
        <w:t>.  2018</w:t>
      </w:r>
      <w:r w:rsidR="00C5721D" w:rsidRPr="002369BD">
        <w:rPr>
          <w:rFonts w:ascii="Arial" w:hAnsi="Arial" w:cs="Arial"/>
          <w:sz w:val="20"/>
          <w:szCs w:val="20"/>
        </w:rPr>
        <w:t>.</w:t>
      </w:r>
    </w:p>
    <w:p w14:paraId="74599E59" w14:textId="340E003E" w:rsidR="00820EB4" w:rsidRPr="002369BD" w:rsidRDefault="00F74E01"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2</w:t>
      </w:r>
      <w:r w:rsidR="00603B9E">
        <w:rPr>
          <w:rFonts w:ascii="Arial" w:hAnsi="Arial" w:cs="Arial"/>
          <w:sz w:val="20"/>
          <w:szCs w:val="20"/>
        </w:rPr>
        <w:t>4</w:t>
      </w:r>
      <w:r w:rsidRPr="002369BD">
        <w:rPr>
          <w:rFonts w:ascii="Arial" w:hAnsi="Arial" w:cs="Arial"/>
          <w:sz w:val="20"/>
          <w:szCs w:val="20"/>
        </w:rPr>
        <w:t>.</w:t>
      </w:r>
      <w:r w:rsidR="00820EB4" w:rsidRPr="002369BD">
        <w:rPr>
          <w:rFonts w:ascii="Arial" w:hAnsi="Arial" w:cs="Arial"/>
          <w:sz w:val="20"/>
          <w:szCs w:val="20"/>
        </w:rPr>
        <w:t>Liu Y.  The rol</w:t>
      </w:r>
      <w:r w:rsidR="00B65185" w:rsidRPr="002369BD">
        <w:rPr>
          <w:rFonts w:ascii="Arial" w:hAnsi="Arial" w:cs="Arial"/>
          <w:sz w:val="20"/>
          <w:szCs w:val="20"/>
        </w:rPr>
        <w:t>e</w:t>
      </w:r>
      <w:r w:rsidR="00820EB4" w:rsidRPr="002369BD">
        <w:rPr>
          <w:rFonts w:ascii="Arial" w:hAnsi="Arial" w:cs="Arial"/>
          <w:sz w:val="20"/>
          <w:szCs w:val="20"/>
        </w:rPr>
        <w:t xml:space="preserve"> of 18F-FDG PET/CT in the follow-up of well-differentiated thyroid cancer with negative thyroglobulin but positive and/or elevated antithyroglobulin antibody.  </w:t>
      </w:r>
      <w:proofErr w:type="spellStart"/>
      <w:r w:rsidR="00820EB4" w:rsidRPr="002369BD">
        <w:rPr>
          <w:rFonts w:ascii="Arial" w:hAnsi="Arial" w:cs="Arial"/>
          <w:i/>
          <w:sz w:val="20"/>
          <w:szCs w:val="20"/>
        </w:rPr>
        <w:t>Nucl</w:t>
      </w:r>
      <w:proofErr w:type="spellEnd"/>
      <w:r w:rsidR="00820EB4" w:rsidRPr="002369BD">
        <w:rPr>
          <w:rFonts w:ascii="Arial" w:hAnsi="Arial" w:cs="Arial"/>
          <w:i/>
          <w:sz w:val="20"/>
          <w:szCs w:val="20"/>
        </w:rPr>
        <w:t xml:space="preserve"> Med </w:t>
      </w:r>
      <w:proofErr w:type="spellStart"/>
      <w:r w:rsidR="00820EB4" w:rsidRPr="002369BD">
        <w:rPr>
          <w:rFonts w:ascii="Arial" w:hAnsi="Arial" w:cs="Arial"/>
          <w:i/>
          <w:sz w:val="20"/>
          <w:szCs w:val="20"/>
        </w:rPr>
        <w:t>Commun</w:t>
      </w:r>
      <w:proofErr w:type="spellEnd"/>
      <w:r w:rsidR="00820EB4" w:rsidRPr="002369BD">
        <w:rPr>
          <w:rFonts w:ascii="Arial" w:hAnsi="Arial" w:cs="Arial"/>
          <w:sz w:val="20"/>
          <w:szCs w:val="20"/>
        </w:rPr>
        <w:t>. 2016; 37:577-82.</w:t>
      </w:r>
    </w:p>
    <w:p w14:paraId="5C2E9873" w14:textId="6E486ECD" w:rsidR="0001511F" w:rsidRPr="002369BD" w:rsidRDefault="00115672"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2</w:t>
      </w:r>
      <w:r w:rsidR="00603B9E">
        <w:rPr>
          <w:rFonts w:ascii="Arial" w:hAnsi="Arial" w:cs="Arial"/>
          <w:sz w:val="20"/>
          <w:szCs w:val="20"/>
        </w:rPr>
        <w:t>5</w:t>
      </w:r>
      <w:r w:rsidRPr="002369BD">
        <w:rPr>
          <w:rFonts w:ascii="Arial" w:hAnsi="Arial" w:cs="Arial"/>
          <w:sz w:val="20"/>
          <w:szCs w:val="20"/>
        </w:rPr>
        <w:t>.</w:t>
      </w:r>
      <w:r w:rsidR="0001511F" w:rsidRPr="002369BD">
        <w:rPr>
          <w:rFonts w:ascii="Arial" w:hAnsi="Arial" w:cs="Arial"/>
          <w:sz w:val="20"/>
          <w:szCs w:val="20"/>
        </w:rPr>
        <w:t xml:space="preserve">Mazzaferri EL, </w:t>
      </w:r>
      <w:proofErr w:type="spellStart"/>
      <w:r w:rsidR="0001511F" w:rsidRPr="002369BD">
        <w:rPr>
          <w:rFonts w:ascii="Arial" w:hAnsi="Arial" w:cs="Arial"/>
          <w:sz w:val="20"/>
          <w:szCs w:val="20"/>
        </w:rPr>
        <w:t>Amdur</w:t>
      </w:r>
      <w:proofErr w:type="spellEnd"/>
      <w:r w:rsidR="0001511F" w:rsidRPr="002369BD">
        <w:rPr>
          <w:rFonts w:ascii="Arial" w:hAnsi="Arial" w:cs="Arial"/>
          <w:sz w:val="20"/>
          <w:szCs w:val="20"/>
        </w:rPr>
        <w:t xml:space="preserve"> RJ.  Essentials of Thyroid Cancer Management.  2006.  Springer Science and Business Media.</w:t>
      </w:r>
    </w:p>
    <w:p w14:paraId="27899031" w14:textId="19AC31C0" w:rsidR="00927E1D" w:rsidRPr="002369BD" w:rsidRDefault="00927E1D"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2</w:t>
      </w:r>
      <w:r w:rsidR="00603B9E">
        <w:rPr>
          <w:rFonts w:ascii="Arial" w:hAnsi="Arial" w:cs="Arial"/>
          <w:sz w:val="20"/>
          <w:szCs w:val="20"/>
        </w:rPr>
        <w:t>6</w:t>
      </w:r>
      <w:r w:rsidRPr="002369BD">
        <w:rPr>
          <w:rFonts w:ascii="Arial" w:hAnsi="Arial" w:cs="Arial"/>
          <w:sz w:val="20"/>
          <w:szCs w:val="20"/>
        </w:rPr>
        <w:t xml:space="preserve">.McDougall IR.  </w:t>
      </w:r>
      <w:r w:rsidR="00562E51" w:rsidRPr="002369BD">
        <w:rPr>
          <w:rFonts w:ascii="Arial" w:hAnsi="Arial" w:cs="Arial"/>
          <w:sz w:val="20"/>
          <w:szCs w:val="20"/>
        </w:rPr>
        <w:t xml:space="preserve">74 MBq radioiodine 131I does not prevent uptake of therapeutic doses of 131I (i.e. it does not cause stunning) in differentiated thyroid cancer.  </w:t>
      </w:r>
      <w:proofErr w:type="spellStart"/>
      <w:r w:rsidR="00562E51" w:rsidRPr="002369BD">
        <w:rPr>
          <w:rFonts w:ascii="Arial" w:hAnsi="Arial" w:cs="Arial"/>
          <w:i/>
          <w:sz w:val="20"/>
          <w:szCs w:val="20"/>
        </w:rPr>
        <w:t>Nucl</w:t>
      </w:r>
      <w:proofErr w:type="spellEnd"/>
      <w:r w:rsidR="00562E51" w:rsidRPr="002369BD">
        <w:rPr>
          <w:rFonts w:ascii="Arial" w:hAnsi="Arial" w:cs="Arial"/>
          <w:i/>
          <w:sz w:val="20"/>
          <w:szCs w:val="20"/>
        </w:rPr>
        <w:t xml:space="preserve"> Med </w:t>
      </w:r>
      <w:proofErr w:type="spellStart"/>
      <w:r w:rsidR="00562E51" w:rsidRPr="002369BD">
        <w:rPr>
          <w:rFonts w:ascii="Arial" w:hAnsi="Arial" w:cs="Arial"/>
          <w:i/>
          <w:sz w:val="20"/>
          <w:szCs w:val="20"/>
        </w:rPr>
        <w:t>Commun</w:t>
      </w:r>
      <w:proofErr w:type="spellEnd"/>
      <w:r w:rsidR="00562E51" w:rsidRPr="002369BD">
        <w:rPr>
          <w:rFonts w:ascii="Arial" w:hAnsi="Arial" w:cs="Arial"/>
          <w:sz w:val="20"/>
          <w:szCs w:val="20"/>
        </w:rPr>
        <w:t>.  1997; 18:505-12.</w:t>
      </w:r>
    </w:p>
    <w:p w14:paraId="3D9FE71F" w14:textId="7D21FB33" w:rsidR="00E9758A" w:rsidRPr="002369BD" w:rsidRDefault="00115672"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2</w:t>
      </w:r>
      <w:r w:rsidR="00603B9E">
        <w:rPr>
          <w:rFonts w:ascii="Arial" w:hAnsi="Arial" w:cs="Arial"/>
          <w:sz w:val="20"/>
          <w:szCs w:val="20"/>
        </w:rPr>
        <w:t>7</w:t>
      </w:r>
      <w:r w:rsidRPr="002369BD">
        <w:rPr>
          <w:rFonts w:ascii="Arial" w:hAnsi="Arial" w:cs="Arial"/>
          <w:sz w:val="20"/>
          <w:szCs w:val="20"/>
        </w:rPr>
        <w:t>.</w:t>
      </w:r>
      <w:r w:rsidR="00E33808" w:rsidRPr="002369BD">
        <w:rPr>
          <w:rFonts w:ascii="Arial" w:hAnsi="Arial" w:cs="Arial"/>
          <w:sz w:val="20"/>
          <w:szCs w:val="20"/>
        </w:rPr>
        <w:t xml:space="preserve">McDougall IR, </w:t>
      </w:r>
      <w:proofErr w:type="spellStart"/>
      <w:r w:rsidR="00E33808" w:rsidRPr="002369BD">
        <w:rPr>
          <w:rFonts w:ascii="Arial" w:hAnsi="Arial" w:cs="Arial"/>
          <w:sz w:val="20"/>
          <w:szCs w:val="20"/>
        </w:rPr>
        <w:t>Iagaru</w:t>
      </w:r>
      <w:proofErr w:type="spellEnd"/>
      <w:r w:rsidR="00E33808" w:rsidRPr="002369BD">
        <w:rPr>
          <w:rFonts w:ascii="Arial" w:hAnsi="Arial" w:cs="Arial"/>
          <w:sz w:val="20"/>
          <w:szCs w:val="20"/>
        </w:rPr>
        <w:t xml:space="preserve"> A. Thyroid stunning: fact or fiction? </w:t>
      </w:r>
      <w:r w:rsidR="00E33808" w:rsidRPr="002369BD">
        <w:rPr>
          <w:rFonts w:ascii="Arial" w:hAnsi="Arial" w:cs="Arial"/>
          <w:i/>
          <w:sz w:val="20"/>
          <w:szCs w:val="20"/>
        </w:rPr>
        <w:t xml:space="preserve">Seminars </w:t>
      </w:r>
      <w:proofErr w:type="spellStart"/>
      <w:r w:rsidRPr="002369BD">
        <w:rPr>
          <w:rFonts w:ascii="Arial" w:hAnsi="Arial" w:cs="Arial"/>
          <w:i/>
          <w:sz w:val="20"/>
          <w:szCs w:val="20"/>
        </w:rPr>
        <w:t>Nucl</w:t>
      </w:r>
      <w:proofErr w:type="spellEnd"/>
      <w:r w:rsidRPr="002369BD">
        <w:rPr>
          <w:rFonts w:ascii="Arial" w:hAnsi="Arial" w:cs="Arial"/>
          <w:i/>
          <w:sz w:val="20"/>
          <w:szCs w:val="20"/>
        </w:rPr>
        <w:t xml:space="preserve"> Med</w:t>
      </w:r>
      <w:r w:rsidRPr="002369BD">
        <w:rPr>
          <w:rFonts w:ascii="Arial" w:hAnsi="Arial" w:cs="Arial"/>
          <w:sz w:val="20"/>
          <w:szCs w:val="20"/>
        </w:rPr>
        <w:t xml:space="preserve">.  </w:t>
      </w:r>
      <w:r w:rsidR="00E33808" w:rsidRPr="002369BD">
        <w:rPr>
          <w:rFonts w:ascii="Arial" w:hAnsi="Arial" w:cs="Arial"/>
          <w:sz w:val="20"/>
          <w:szCs w:val="20"/>
        </w:rPr>
        <w:t>2011;</w:t>
      </w:r>
      <w:r w:rsidRPr="002369BD">
        <w:rPr>
          <w:rFonts w:ascii="Arial" w:hAnsi="Arial" w:cs="Arial"/>
          <w:sz w:val="20"/>
          <w:szCs w:val="20"/>
        </w:rPr>
        <w:t xml:space="preserve"> </w:t>
      </w:r>
      <w:r w:rsidR="00E33808" w:rsidRPr="002369BD">
        <w:rPr>
          <w:rFonts w:ascii="Arial" w:hAnsi="Arial" w:cs="Arial"/>
          <w:sz w:val="20"/>
          <w:szCs w:val="20"/>
        </w:rPr>
        <w:t>41:105-12.</w:t>
      </w:r>
    </w:p>
    <w:p w14:paraId="1990CC24" w14:textId="1A349EC1" w:rsidR="00820EB4" w:rsidRPr="002369BD" w:rsidRDefault="00B5008C"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2</w:t>
      </w:r>
      <w:r w:rsidR="00603B9E">
        <w:rPr>
          <w:rFonts w:ascii="Arial" w:hAnsi="Arial" w:cs="Arial"/>
          <w:sz w:val="20"/>
          <w:szCs w:val="20"/>
        </w:rPr>
        <w:t>8</w:t>
      </w:r>
      <w:r w:rsidR="000E1B1D" w:rsidRPr="002369BD">
        <w:rPr>
          <w:rFonts w:ascii="Arial" w:hAnsi="Arial" w:cs="Arial"/>
          <w:sz w:val="20"/>
          <w:szCs w:val="20"/>
        </w:rPr>
        <w:t>.</w:t>
      </w:r>
      <w:r w:rsidR="00820EB4" w:rsidRPr="002369BD">
        <w:rPr>
          <w:rFonts w:ascii="Arial" w:hAnsi="Arial" w:cs="Arial"/>
          <w:sz w:val="20"/>
          <w:szCs w:val="20"/>
        </w:rPr>
        <w:t xml:space="preserve">Mettler FA, </w:t>
      </w:r>
      <w:proofErr w:type="spellStart"/>
      <w:r w:rsidR="00820EB4" w:rsidRPr="002369BD">
        <w:rPr>
          <w:rFonts w:ascii="Arial" w:hAnsi="Arial" w:cs="Arial"/>
          <w:sz w:val="20"/>
          <w:szCs w:val="20"/>
        </w:rPr>
        <w:t>Guiberteau</w:t>
      </w:r>
      <w:proofErr w:type="spellEnd"/>
      <w:r w:rsidR="00820EB4" w:rsidRPr="002369BD">
        <w:rPr>
          <w:rFonts w:ascii="Arial" w:hAnsi="Arial" w:cs="Arial"/>
          <w:sz w:val="20"/>
          <w:szCs w:val="20"/>
        </w:rPr>
        <w:t xml:space="preserve"> MJ. </w:t>
      </w:r>
      <w:r w:rsidR="00820EB4" w:rsidRPr="002369BD">
        <w:rPr>
          <w:rFonts w:ascii="Arial" w:hAnsi="Arial" w:cs="Arial"/>
          <w:sz w:val="20"/>
          <w:szCs w:val="20"/>
          <w:u w:val="single"/>
        </w:rPr>
        <w:t>Essentials of Nuclear Medicine Imaging</w:t>
      </w:r>
      <w:r w:rsidR="00820EB4" w:rsidRPr="002369BD">
        <w:rPr>
          <w:rFonts w:ascii="Arial" w:hAnsi="Arial" w:cs="Arial"/>
          <w:sz w:val="20"/>
          <w:szCs w:val="20"/>
        </w:rPr>
        <w:t>. 201</w:t>
      </w:r>
      <w:r w:rsidR="00DF5C30" w:rsidRPr="002369BD">
        <w:rPr>
          <w:rFonts w:ascii="Arial" w:hAnsi="Arial" w:cs="Arial"/>
          <w:sz w:val="20"/>
          <w:szCs w:val="20"/>
        </w:rPr>
        <w:t>8</w:t>
      </w:r>
      <w:r w:rsidR="00820EB4" w:rsidRPr="002369BD">
        <w:rPr>
          <w:rFonts w:ascii="Arial" w:hAnsi="Arial" w:cs="Arial"/>
          <w:sz w:val="20"/>
          <w:szCs w:val="20"/>
        </w:rPr>
        <w:t xml:space="preserve">.  </w:t>
      </w:r>
      <w:r w:rsidR="000E1B1D" w:rsidRPr="002369BD">
        <w:rPr>
          <w:rFonts w:ascii="Arial" w:hAnsi="Arial" w:cs="Arial"/>
          <w:sz w:val="20"/>
          <w:szCs w:val="20"/>
        </w:rPr>
        <w:t>E</w:t>
      </w:r>
      <w:r w:rsidR="00820EB4" w:rsidRPr="002369BD">
        <w:rPr>
          <w:rFonts w:ascii="Arial" w:hAnsi="Arial" w:cs="Arial"/>
          <w:sz w:val="20"/>
          <w:szCs w:val="20"/>
        </w:rPr>
        <w:t>lsevier Health Sciences.</w:t>
      </w:r>
    </w:p>
    <w:p w14:paraId="22EB626F" w14:textId="797B2DDB" w:rsidR="00276785" w:rsidRPr="002369BD" w:rsidRDefault="00B5008C"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2</w:t>
      </w:r>
      <w:r w:rsidR="00603B9E">
        <w:rPr>
          <w:rFonts w:ascii="Arial" w:hAnsi="Arial" w:cs="Arial"/>
          <w:sz w:val="20"/>
          <w:szCs w:val="20"/>
        </w:rPr>
        <w:t>9</w:t>
      </w:r>
      <w:r w:rsidR="000E1B1D" w:rsidRPr="002369BD">
        <w:rPr>
          <w:rFonts w:ascii="Arial" w:hAnsi="Arial" w:cs="Arial"/>
          <w:sz w:val="20"/>
          <w:szCs w:val="20"/>
        </w:rPr>
        <w:t>.</w:t>
      </w:r>
      <w:r w:rsidR="00276785" w:rsidRPr="002369BD">
        <w:rPr>
          <w:rFonts w:ascii="Arial" w:hAnsi="Arial" w:cs="Arial"/>
          <w:sz w:val="20"/>
          <w:szCs w:val="20"/>
        </w:rPr>
        <w:t>Padovani RP</w:t>
      </w:r>
      <w:r w:rsidR="00F7477C" w:rsidRPr="002369BD">
        <w:rPr>
          <w:rFonts w:ascii="Arial" w:hAnsi="Arial" w:cs="Arial"/>
          <w:sz w:val="20"/>
          <w:szCs w:val="20"/>
        </w:rPr>
        <w:t xml:space="preserve">, </w:t>
      </w:r>
      <w:proofErr w:type="spellStart"/>
      <w:r w:rsidR="00F7477C" w:rsidRPr="002369BD">
        <w:rPr>
          <w:rFonts w:ascii="Arial" w:hAnsi="Arial" w:cs="Arial"/>
          <w:sz w:val="20"/>
          <w:szCs w:val="20"/>
        </w:rPr>
        <w:t>Kasamatsu</w:t>
      </w:r>
      <w:proofErr w:type="spellEnd"/>
      <w:r w:rsidR="00F7477C" w:rsidRPr="002369BD">
        <w:rPr>
          <w:rFonts w:ascii="Arial" w:hAnsi="Arial" w:cs="Arial"/>
          <w:sz w:val="20"/>
          <w:szCs w:val="20"/>
        </w:rPr>
        <w:t xml:space="preserve"> TS, </w:t>
      </w:r>
      <w:proofErr w:type="spellStart"/>
      <w:r w:rsidR="00F7477C" w:rsidRPr="002369BD">
        <w:rPr>
          <w:rFonts w:ascii="Arial" w:hAnsi="Arial" w:cs="Arial"/>
          <w:sz w:val="20"/>
          <w:szCs w:val="20"/>
        </w:rPr>
        <w:t>Nakabashi</w:t>
      </w:r>
      <w:proofErr w:type="spellEnd"/>
      <w:r w:rsidR="00F7477C" w:rsidRPr="002369BD">
        <w:rPr>
          <w:rFonts w:ascii="Arial" w:hAnsi="Arial" w:cs="Arial"/>
          <w:sz w:val="20"/>
          <w:szCs w:val="20"/>
        </w:rPr>
        <w:t xml:space="preserve"> CCD, et al.  </w:t>
      </w:r>
      <w:r w:rsidR="00C744C0" w:rsidRPr="002369BD">
        <w:rPr>
          <w:rFonts w:ascii="Arial" w:hAnsi="Arial" w:cs="Arial"/>
          <w:sz w:val="20"/>
          <w:szCs w:val="20"/>
        </w:rPr>
        <w:t xml:space="preserve">One month is sufficient for urinary iodine to return to its baseline after the use of water-soluble iodinated </w:t>
      </w:r>
      <w:r w:rsidR="000E1B1D" w:rsidRPr="002369BD">
        <w:rPr>
          <w:rFonts w:ascii="Arial" w:hAnsi="Arial" w:cs="Arial"/>
          <w:sz w:val="20"/>
          <w:szCs w:val="20"/>
        </w:rPr>
        <w:t>c</w:t>
      </w:r>
      <w:r w:rsidR="00222BFA" w:rsidRPr="002369BD">
        <w:rPr>
          <w:rFonts w:ascii="Arial" w:hAnsi="Arial" w:cs="Arial"/>
          <w:sz w:val="20"/>
          <w:szCs w:val="20"/>
        </w:rPr>
        <w:t xml:space="preserve">ontrast agents in post-thyroidectomy patients requiring radioiodine therapy.  </w:t>
      </w:r>
      <w:r w:rsidR="002D12BD" w:rsidRPr="002369BD">
        <w:rPr>
          <w:rFonts w:ascii="Arial" w:hAnsi="Arial" w:cs="Arial"/>
          <w:i/>
          <w:sz w:val="20"/>
          <w:szCs w:val="20"/>
        </w:rPr>
        <w:t>Thyroid</w:t>
      </w:r>
      <w:r w:rsidR="002D12BD" w:rsidRPr="002369BD">
        <w:rPr>
          <w:rFonts w:ascii="Arial" w:hAnsi="Arial" w:cs="Arial"/>
          <w:sz w:val="20"/>
          <w:szCs w:val="20"/>
        </w:rPr>
        <w:t>.  2012; 22:926-30.</w:t>
      </w:r>
    </w:p>
    <w:p w14:paraId="3F98E600" w14:textId="18963611" w:rsidR="005D1F6B" w:rsidRPr="002369BD" w:rsidRDefault="00603B9E" w:rsidP="00CF38F9">
      <w:pPr>
        <w:tabs>
          <w:tab w:val="left" w:pos="360"/>
          <w:tab w:val="left" w:pos="630"/>
        </w:tabs>
        <w:spacing w:after="0" w:line="240" w:lineRule="auto"/>
        <w:rPr>
          <w:rFonts w:ascii="Arial" w:hAnsi="Arial" w:cs="Arial"/>
          <w:sz w:val="20"/>
          <w:szCs w:val="20"/>
        </w:rPr>
      </w:pPr>
      <w:r>
        <w:rPr>
          <w:rFonts w:ascii="Arial" w:hAnsi="Arial" w:cs="Arial"/>
          <w:sz w:val="20"/>
          <w:szCs w:val="20"/>
        </w:rPr>
        <w:t>30</w:t>
      </w:r>
      <w:r w:rsidR="000E1B1D" w:rsidRPr="002369BD">
        <w:rPr>
          <w:rFonts w:ascii="Arial" w:hAnsi="Arial" w:cs="Arial"/>
          <w:sz w:val="20"/>
          <w:szCs w:val="20"/>
        </w:rPr>
        <w:t>.</w:t>
      </w:r>
      <w:r w:rsidR="00820EB4" w:rsidRPr="002369BD">
        <w:rPr>
          <w:rFonts w:ascii="Arial" w:hAnsi="Arial" w:cs="Arial"/>
          <w:sz w:val="20"/>
          <w:szCs w:val="20"/>
        </w:rPr>
        <w:t xml:space="preserve">Palmedo H, </w:t>
      </w:r>
      <w:proofErr w:type="spellStart"/>
      <w:r w:rsidR="00820EB4" w:rsidRPr="002369BD">
        <w:rPr>
          <w:rFonts w:ascii="Arial" w:hAnsi="Arial" w:cs="Arial"/>
          <w:sz w:val="20"/>
          <w:szCs w:val="20"/>
        </w:rPr>
        <w:t>Bucerius</w:t>
      </w:r>
      <w:proofErr w:type="spellEnd"/>
      <w:r w:rsidR="00820EB4" w:rsidRPr="002369BD">
        <w:rPr>
          <w:rFonts w:ascii="Arial" w:hAnsi="Arial" w:cs="Arial"/>
          <w:sz w:val="20"/>
          <w:szCs w:val="20"/>
        </w:rPr>
        <w:t xml:space="preserve"> J, Joe A. Integrated PET/CT in the differentiated thyroid cancer: Diagnostic accuracy and impact on patient management. </w:t>
      </w:r>
      <w:r w:rsidR="00820EB4" w:rsidRPr="002369BD">
        <w:rPr>
          <w:rFonts w:ascii="Arial" w:hAnsi="Arial" w:cs="Arial"/>
          <w:i/>
          <w:sz w:val="20"/>
          <w:szCs w:val="20"/>
        </w:rPr>
        <w:t xml:space="preserve">J </w:t>
      </w:r>
      <w:proofErr w:type="spellStart"/>
      <w:r w:rsidR="00820EB4" w:rsidRPr="002369BD">
        <w:rPr>
          <w:rFonts w:ascii="Arial" w:hAnsi="Arial" w:cs="Arial"/>
          <w:i/>
          <w:sz w:val="20"/>
          <w:szCs w:val="20"/>
        </w:rPr>
        <w:t>Nucl</w:t>
      </w:r>
      <w:proofErr w:type="spellEnd"/>
      <w:r w:rsidR="00820EB4" w:rsidRPr="002369BD">
        <w:rPr>
          <w:rFonts w:ascii="Arial" w:hAnsi="Arial" w:cs="Arial"/>
          <w:i/>
          <w:sz w:val="20"/>
          <w:szCs w:val="20"/>
        </w:rPr>
        <w:t xml:space="preserve"> Med</w:t>
      </w:r>
      <w:r w:rsidR="00AE399C" w:rsidRPr="002369BD">
        <w:rPr>
          <w:rFonts w:ascii="Arial" w:hAnsi="Arial" w:cs="Arial"/>
          <w:sz w:val="20"/>
          <w:szCs w:val="20"/>
        </w:rPr>
        <w:t>.</w:t>
      </w:r>
      <w:r w:rsidR="00820EB4" w:rsidRPr="002369BD">
        <w:rPr>
          <w:rFonts w:ascii="Arial" w:hAnsi="Arial" w:cs="Arial"/>
          <w:sz w:val="20"/>
          <w:szCs w:val="20"/>
        </w:rPr>
        <w:t xml:space="preserve"> 2006; 47:616-24. </w:t>
      </w:r>
    </w:p>
    <w:p w14:paraId="02C1FB73" w14:textId="32F1A928" w:rsidR="005D1F6B" w:rsidRPr="002369BD" w:rsidRDefault="001E2957" w:rsidP="00CF38F9">
      <w:pPr>
        <w:tabs>
          <w:tab w:val="left" w:pos="360"/>
          <w:tab w:val="left" w:pos="630"/>
        </w:tabs>
        <w:spacing w:after="0" w:line="240" w:lineRule="auto"/>
        <w:rPr>
          <w:rFonts w:ascii="Arial" w:hAnsi="Arial" w:cs="Arial"/>
          <w:sz w:val="20"/>
          <w:szCs w:val="20"/>
        </w:rPr>
      </w:pPr>
      <w:r>
        <w:rPr>
          <w:rFonts w:ascii="Arial" w:hAnsi="Arial" w:cs="Arial"/>
          <w:sz w:val="20"/>
          <w:szCs w:val="20"/>
        </w:rPr>
        <w:t>3</w:t>
      </w:r>
      <w:r w:rsidR="00603B9E">
        <w:rPr>
          <w:rFonts w:ascii="Arial" w:hAnsi="Arial" w:cs="Arial"/>
          <w:sz w:val="20"/>
          <w:szCs w:val="20"/>
        </w:rPr>
        <w:t>1</w:t>
      </w:r>
      <w:r w:rsidR="000E1B1D" w:rsidRPr="002369BD">
        <w:rPr>
          <w:rFonts w:ascii="Arial" w:hAnsi="Arial" w:cs="Arial"/>
          <w:sz w:val="20"/>
          <w:szCs w:val="20"/>
        </w:rPr>
        <w:t>.</w:t>
      </w:r>
      <w:r w:rsidR="005D1F6B" w:rsidRPr="002369BD">
        <w:rPr>
          <w:rFonts w:ascii="Arial" w:hAnsi="Arial" w:cs="Arial"/>
          <w:sz w:val="20"/>
          <w:szCs w:val="20"/>
        </w:rPr>
        <w:t xml:space="preserve">Park HM, Park YH, Zhou XH. Detection of thyroid remnant/metastases without stunning: an ongoing dilemma. Thyroid. 1997; 7:277–80. </w:t>
      </w:r>
    </w:p>
    <w:p w14:paraId="678F47EA" w14:textId="3CF39DC8" w:rsidR="00076339" w:rsidRPr="002369BD" w:rsidRDefault="003D3ED1" w:rsidP="00CF38F9">
      <w:pPr>
        <w:tabs>
          <w:tab w:val="left" w:pos="360"/>
          <w:tab w:val="left" w:pos="630"/>
        </w:tabs>
        <w:spacing w:after="0" w:line="240" w:lineRule="auto"/>
        <w:rPr>
          <w:rFonts w:ascii="Arial" w:hAnsi="Arial" w:cs="Arial"/>
          <w:sz w:val="20"/>
          <w:szCs w:val="20"/>
        </w:rPr>
      </w:pPr>
      <w:r w:rsidRPr="00AA496C">
        <w:rPr>
          <w:rFonts w:ascii="Arial" w:hAnsi="Arial" w:cs="Arial"/>
          <w:sz w:val="20"/>
          <w:szCs w:val="20"/>
          <w:lang w:val="fr-FR"/>
        </w:rPr>
        <w:t>3</w:t>
      </w:r>
      <w:r w:rsidR="00603B9E" w:rsidRPr="00AA496C">
        <w:rPr>
          <w:rFonts w:ascii="Arial" w:hAnsi="Arial" w:cs="Arial"/>
          <w:sz w:val="20"/>
          <w:szCs w:val="20"/>
          <w:lang w:val="fr-FR"/>
        </w:rPr>
        <w:t>2</w:t>
      </w:r>
      <w:r w:rsidR="001A3937" w:rsidRPr="00AA496C">
        <w:rPr>
          <w:rFonts w:ascii="Arial" w:hAnsi="Arial" w:cs="Arial"/>
          <w:sz w:val="20"/>
          <w:szCs w:val="20"/>
          <w:lang w:val="fr-FR"/>
        </w:rPr>
        <w:t>.</w:t>
      </w:r>
      <w:r w:rsidR="00076339" w:rsidRPr="00AA496C">
        <w:rPr>
          <w:rFonts w:ascii="Arial" w:hAnsi="Arial" w:cs="Arial"/>
          <w:sz w:val="20"/>
          <w:szCs w:val="20"/>
          <w:lang w:val="fr-FR"/>
        </w:rPr>
        <w:t xml:space="preserve">Plotkin M, </w:t>
      </w:r>
      <w:proofErr w:type="spellStart"/>
      <w:r w:rsidR="00076339" w:rsidRPr="00AA496C">
        <w:rPr>
          <w:rFonts w:ascii="Arial" w:hAnsi="Arial" w:cs="Arial"/>
          <w:sz w:val="20"/>
          <w:szCs w:val="20"/>
          <w:lang w:val="fr-FR"/>
        </w:rPr>
        <w:t>Hautzel</w:t>
      </w:r>
      <w:proofErr w:type="spellEnd"/>
      <w:r w:rsidR="00076339" w:rsidRPr="00AA496C">
        <w:rPr>
          <w:rFonts w:ascii="Arial" w:hAnsi="Arial" w:cs="Arial"/>
          <w:sz w:val="20"/>
          <w:szCs w:val="20"/>
          <w:lang w:val="fr-FR"/>
        </w:rPr>
        <w:t xml:space="preserve"> H, Krause BJ, et al. </w:t>
      </w:r>
      <w:r w:rsidR="00076339" w:rsidRPr="002369BD">
        <w:rPr>
          <w:rFonts w:ascii="Arial" w:hAnsi="Arial" w:cs="Arial"/>
          <w:sz w:val="20"/>
          <w:szCs w:val="20"/>
        </w:rPr>
        <w:t xml:space="preserve">Implication of 2-18fluoro-2-deoxyglucose positron emission tomography in the follow-up of </w:t>
      </w:r>
      <w:proofErr w:type="spellStart"/>
      <w:r w:rsidR="00076339" w:rsidRPr="002369BD">
        <w:rPr>
          <w:rFonts w:ascii="Arial" w:hAnsi="Arial" w:cs="Arial"/>
          <w:sz w:val="20"/>
          <w:szCs w:val="20"/>
        </w:rPr>
        <w:t>Hurthle</w:t>
      </w:r>
      <w:proofErr w:type="spellEnd"/>
      <w:r w:rsidR="00076339" w:rsidRPr="002369BD">
        <w:rPr>
          <w:rFonts w:ascii="Arial" w:hAnsi="Arial" w:cs="Arial"/>
          <w:sz w:val="20"/>
          <w:szCs w:val="20"/>
        </w:rPr>
        <w:t xml:space="preserve"> cell thyroid cancer. </w:t>
      </w:r>
      <w:proofErr w:type="gramStart"/>
      <w:r w:rsidR="00076339" w:rsidRPr="002369BD">
        <w:rPr>
          <w:rFonts w:ascii="Arial" w:hAnsi="Arial" w:cs="Arial"/>
          <w:i/>
          <w:sz w:val="20"/>
          <w:szCs w:val="20"/>
        </w:rPr>
        <w:t>Thyroid</w:t>
      </w:r>
      <w:r w:rsidR="00076339" w:rsidRPr="002369BD">
        <w:rPr>
          <w:rFonts w:ascii="Arial" w:hAnsi="Arial" w:cs="Arial"/>
          <w:sz w:val="20"/>
          <w:szCs w:val="20"/>
        </w:rPr>
        <w:t xml:space="preserve"> </w:t>
      </w:r>
      <w:r w:rsidR="00AE399C" w:rsidRPr="002369BD">
        <w:rPr>
          <w:rFonts w:ascii="Arial" w:hAnsi="Arial" w:cs="Arial"/>
          <w:sz w:val="20"/>
          <w:szCs w:val="20"/>
        </w:rPr>
        <w:t>.</w:t>
      </w:r>
      <w:proofErr w:type="gramEnd"/>
      <w:r w:rsidR="00AE399C" w:rsidRPr="002369BD">
        <w:rPr>
          <w:rFonts w:ascii="Arial" w:hAnsi="Arial" w:cs="Arial"/>
          <w:sz w:val="20"/>
          <w:szCs w:val="20"/>
        </w:rPr>
        <w:t xml:space="preserve">  </w:t>
      </w:r>
      <w:r w:rsidR="00076339" w:rsidRPr="002369BD">
        <w:rPr>
          <w:rFonts w:ascii="Arial" w:hAnsi="Arial" w:cs="Arial"/>
          <w:sz w:val="20"/>
          <w:szCs w:val="20"/>
        </w:rPr>
        <w:t xml:space="preserve">2002; 12:155–61. </w:t>
      </w:r>
    </w:p>
    <w:p w14:paraId="1DA9E8B1" w14:textId="2AFB8BFD" w:rsidR="00076339" w:rsidRPr="002369BD" w:rsidRDefault="003D3ED1" w:rsidP="00CF38F9">
      <w:pPr>
        <w:tabs>
          <w:tab w:val="left" w:pos="360"/>
          <w:tab w:val="left" w:pos="630"/>
        </w:tabs>
        <w:spacing w:after="0" w:line="240" w:lineRule="auto"/>
        <w:rPr>
          <w:rFonts w:ascii="Arial" w:hAnsi="Arial" w:cs="Arial"/>
          <w:sz w:val="20"/>
          <w:szCs w:val="20"/>
          <w:lang w:val="fr-FR"/>
        </w:rPr>
      </w:pPr>
      <w:r w:rsidRPr="002369BD">
        <w:rPr>
          <w:rFonts w:ascii="Arial" w:hAnsi="Arial" w:cs="Arial"/>
          <w:sz w:val="20"/>
          <w:szCs w:val="20"/>
        </w:rPr>
        <w:t>3</w:t>
      </w:r>
      <w:r w:rsidR="00603B9E">
        <w:rPr>
          <w:rFonts w:ascii="Arial" w:hAnsi="Arial" w:cs="Arial"/>
          <w:sz w:val="20"/>
          <w:szCs w:val="20"/>
        </w:rPr>
        <w:t>3</w:t>
      </w:r>
      <w:r w:rsidR="001A3937" w:rsidRPr="002369BD">
        <w:rPr>
          <w:rFonts w:ascii="Arial" w:hAnsi="Arial" w:cs="Arial"/>
          <w:sz w:val="20"/>
          <w:szCs w:val="20"/>
        </w:rPr>
        <w:t xml:space="preserve">.  </w:t>
      </w:r>
      <w:r w:rsidR="00076339" w:rsidRPr="002369BD">
        <w:rPr>
          <w:rFonts w:ascii="Arial" w:hAnsi="Arial" w:cs="Arial"/>
          <w:sz w:val="20"/>
          <w:szCs w:val="20"/>
        </w:rPr>
        <w:t xml:space="preserve">Prestwich RJ, Viner S, Gerrard G, et al.  Increasing the yield of recombinant thyroid-stimulating hormone-stimulated 2-(18-fluoride)-flu-2-doxy-D-glucose positron emission tomography-CT in patients with differentiated thyroid carcinoma.  </w:t>
      </w:r>
      <w:r w:rsidR="00076339" w:rsidRPr="002369BD">
        <w:rPr>
          <w:rFonts w:ascii="Arial" w:hAnsi="Arial" w:cs="Arial"/>
          <w:i/>
          <w:sz w:val="20"/>
          <w:szCs w:val="20"/>
          <w:lang w:val="fr-FR"/>
        </w:rPr>
        <w:t xml:space="preserve">Br J </w:t>
      </w:r>
      <w:proofErr w:type="spellStart"/>
      <w:r w:rsidR="00076339" w:rsidRPr="002369BD">
        <w:rPr>
          <w:rFonts w:ascii="Arial" w:hAnsi="Arial" w:cs="Arial"/>
          <w:i/>
          <w:sz w:val="20"/>
          <w:szCs w:val="20"/>
          <w:lang w:val="fr-FR"/>
        </w:rPr>
        <w:t>Radiol</w:t>
      </w:r>
      <w:proofErr w:type="spellEnd"/>
      <w:r w:rsidR="00076339" w:rsidRPr="002369BD">
        <w:rPr>
          <w:rFonts w:ascii="Arial" w:hAnsi="Arial" w:cs="Arial"/>
          <w:sz w:val="20"/>
          <w:szCs w:val="20"/>
          <w:lang w:val="fr-FR"/>
        </w:rPr>
        <w:t xml:space="preserve">.  </w:t>
      </w:r>
      <w:proofErr w:type="gramStart"/>
      <w:r w:rsidR="00076339" w:rsidRPr="002369BD">
        <w:rPr>
          <w:rFonts w:ascii="Arial" w:hAnsi="Arial" w:cs="Arial"/>
          <w:sz w:val="20"/>
          <w:szCs w:val="20"/>
          <w:lang w:val="fr-FR"/>
        </w:rPr>
        <w:t>2012;</w:t>
      </w:r>
      <w:proofErr w:type="gramEnd"/>
      <w:r w:rsidR="00076339" w:rsidRPr="002369BD">
        <w:rPr>
          <w:rFonts w:ascii="Arial" w:hAnsi="Arial" w:cs="Arial"/>
          <w:sz w:val="20"/>
          <w:szCs w:val="20"/>
          <w:lang w:val="fr-FR"/>
        </w:rPr>
        <w:t xml:space="preserve"> 85:e805-13.</w:t>
      </w:r>
    </w:p>
    <w:p w14:paraId="317D3599" w14:textId="2B1C85EE" w:rsidR="008A3200" w:rsidRDefault="00873672"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lang w:val="fr-FR"/>
        </w:rPr>
        <w:t>3</w:t>
      </w:r>
      <w:r w:rsidR="00603B9E">
        <w:rPr>
          <w:rFonts w:ascii="Arial" w:hAnsi="Arial" w:cs="Arial"/>
          <w:sz w:val="20"/>
          <w:szCs w:val="20"/>
          <w:lang w:val="fr-FR"/>
        </w:rPr>
        <w:t>4</w:t>
      </w:r>
      <w:r w:rsidRPr="002369BD">
        <w:rPr>
          <w:rFonts w:ascii="Arial" w:hAnsi="Arial" w:cs="Arial"/>
          <w:sz w:val="20"/>
          <w:szCs w:val="20"/>
          <w:lang w:val="fr-FR"/>
        </w:rPr>
        <w:t xml:space="preserve">. </w:t>
      </w:r>
      <w:r w:rsidR="008A3200" w:rsidRPr="002369BD">
        <w:rPr>
          <w:rFonts w:ascii="Arial" w:hAnsi="Arial" w:cs="Arial"/>
          <w:sz w:val="20"/>
          <w:szCs w:val="20"/>
          <w:lang w:val="fr-FR"/>
        </w:rPr>
        <w:t xml:space="preserve">Robbins </w:t>
      </w:r>
      <w:r w:rsidRPr="002369BD">
        <w:rPr>
          <w:rFonts w:ascii="Arial" w:hAnsi="Arial" w:cs="Arial"/>
          <w:sz w:val="20"/>
          <w:szCs w:val="20"/>
          <w:lang w:val="fr-FR"/>
        </w:rPr>
        <w:t xml:space="preserve">RJ, </w:t>
      </w:r>
      <w:proofErr w:type="spellStart"/>
      <w:r w:rsidRPr="002369BD">
        <w:rPr>
          <w:rFonts w:ascii="Arial" w:hAnsi="Arial" w:cs="Arial"/>
          <w:sz w:val="20"/>
          <w:szCs w:val="20"/>
          <w:lang w:val="fr-FR"/>
        </w:rPr>
        <w:t>Chon</w:t>
      </w:r>
      <w:proofErr w:type="spellEnd"/>
      <w:r w:rsidRPr="002369BD">
        <w:rPr>
          <w:rFonts w:ascii="Arial" w:hAnsi="Arial" w:cs="Arial"/>
          <w:sz w:val="20"/>
          <w:szCs w:val="20"/>
          <w:lang w:val="fr-FR"/>
        </w:rPr>
        <w:t xml:space="preserve"> JT, </w:t>
      </w:r>
      <w:proofErr w:type="spellStart"/>
      <w:r w:rsidRPr="002369BD">
        <w:rPr>
          <w:rFonts w:ascii="Arial" w:hAnsi="Arial" w:cs="Arial"/>
          <w:sz w:val="20"/>
          <w:szCs w:val="20"/>
          <w:lang w:val="fr-FR"/>
        </w:rPr>
        <w:t>Fleisher</w:t>
      </w:r>
      <w:proofErr w:type="spellEnd"/>
      <w:r w:rsidRPr="002369BD">
        <w:rPr>
          <w:rFonts w:ascii="Arial" w:hAnsi="Arial" w:cs="Arial"/>
          <w:sz w:val="20"/>
          <w:szCs w:val="20"/>
          <w:lang w:val="fr-FR"/>
        </w:rPr>
        <w:t xml:space="preserve"> M, et</w:t>
      </w:r>
      <w:r>
        <w:rPr>
          <w:rFonts w:ascii="Arial" w:hAnsi="Arial" w:cs="Arial"/>
          <w:sz w:val="20"/>
          <w:szCs w:val="20"/>
          <w:lang w:val="fr-FR"/>
        </w:rPr>
        <w:t xml:space="preserve"> al.  </w:t>
      </w:r>
      <w:r w:rsidRPr="002369BD">
        <w:rPr>
          <w:rFonts w:ascii="Arial" w:hAnsi="Arial" w:cs="Arial"/>
          <w:sz w:val="20"/>
          <w:szCs w:val="20"/>
        </w:rPr>
        <w:t>Is the serum thyroglobulin r</w:t>
      </w:r>
      <w:r>
        <w:rPr>
          <w:rFonts w:ascii="Arial" w:hAnsi="Arial" w:cs="Arial"/>
          <w:sz w:val="20"/>
          <w:szCs w:val="20"/>
        </w:rPr>
        <w:t xml:space="preserve">esponse to recombinant human thyrotropin sufficient, by itself, to monitor for residual thyroid carcinoma?  </w:t>
      </w:r>
      <w:r>
        <w:rPr>
          <w:rFonts w:ascii="Arial" w:hAnsi="Arial" w:cs="Arial"/>
          <w:i/>
          <w:sz w:val="20"/>
          <w:szCs w:val="20"/>
        </w:rPr>
        <w:t xml:space="preserve">J Clin Endocrinol </w:t>
      </w:r>
      <w:proofErr w:type="spellStart"/>
      <w:r>
        <w:rPr>
          <w:rFonts w:ascii="Arial" w:hAnsi="Arial" w:cs="Arial"/>
          <w:i/>
          <w:sz w:val="20"/>
          <w:szCs w:val="20"/>
        </w:rPr>
        <w:t>Metab</w:t>
      </w:r>
      <w:proofErr w:type="spellEnd"/>
      <w:r>
        <w:rPr>
          <w:rFonts w:ascii="Arial" w:hAnsi="Arial" w:cs="Arial"/>
          <w:sz w:val="20"/>
          <w:szCs w:val="20"/>
        </w:rPr>
        <w:t>.  2002; 87:3242-7.</w:t>
      </w:r>
    </w:p>
    <w:p w14:paraId="3C85A28C" w14:textId="4F9B5707" w:rsidR="000D7CFA" w:rsidRPr="002369BD" w:rsidRDefault="000D7CFA" w:rsidP="00CF38F9">
      <w:pPr>
        <w:tabs>
          <w:tab w:val="left" w:pos="360"/>
          <w:tab w:val="left" w:pos="630"/>
        </w:tabs>
        <w:spacing w:after="0" w:line="240" w:lineRule="auto"/>
        <w:rPr>
          <w:rFonts w:ascii="Arial" w:hAnsi="Arial" w:cs="Arial"/>
          <w:sz w:val="20"/>
          <w:szCs w:val="20"/>
        </w:rPr>
      </w:pPr>
      <w:r w:rsidRPr="00D01E5F">
        <w:rPr>
          <w:rFonts w:ascii="Arial" w:hAnsi="Arial" w:cs="Arial"/>
          <w:sz w:val="20"/>
          <w:szCs w:val="20"/>
        </w:rPr>
        <w:lastRenderedPageBreak/>
        <w:t>3</w:t>
      </w:r>
      <w:r w:rsidR="00603B9E" w:rsidRPr="00D01E5F">
        <w:rPr>
          <w:rFonts w:ascii="Arial" w:hAnsi="Arial" w:cs="Arial"/>
          <w:sz w:val="20"/>
          <w:szCs w:val="20"/>
        </w:rPr>
        <w:t>5</w:t>
      </w:r>
      <w:r w:rsidRPr="00D01E5F">
        <w:rPr>
          <w:rFonts w:ascii="Arial" w:hAnsi="Arial" w:cs="Arial"/>
          <w:sz w:val="20"/>
          <w:szCs w:val="20"/>
        </w:rPr>
        <w:t xml:space="preserve">. </w:t>
      </w:r>
      <w:bookmarkStart w:id="6" w:name="_Hlk4456269"/>
      <w:r w:rsidRPr="00D01E5F">
        <w:rPr>
          <w:rFonts w:ascii="Arial" w:hAnsi="Arial" w:cs="Arial"/>
          <w:sz w:val="20"/>
          <w:szCs w:val="20"/>
        </w:rPr>
        <w:t xml:space="preserve">Roman SA, Sosa JA, </w:t>
      </w:r>
      <w:proofErr w:type="spellStart"/>
      <w:r w:rsidRPr="00D01E5F">
        <w:rPr>
          <w:rFonts w:ascii="Arial" w:hAnsi="Arial" w:cs="Arial"/>
          <w:sz w:val="20"/>
          <w:szCs w:val="20"/>
        </w:rPr>
        <w:t>Solorzano</w:t>
      </w:r>
      <w:proofErr w:type="spellEnd"/>
      <w:r w:rsidRPr="00D01E5F">
        <w:rPr>
          <w:rFonts w:ascii="Arial" w:hAnsi="Arial" w:cs="Arial"/>
          <w:sz w:val="20"/>
          <w:szCs w:val="20"/>
        </w:rPr>
        <w:t xml:space="preserve"> CC.  </w:t>
      </w:r>
      <w:r w:rsidRPr="002369BD">
        <w:rPr>
          <w:rFonts w:ascii="Arial" w:hAnsi="Arial" w:cs="Arial"/>
          <w:sz w:val="20"/>
          <w:szCs w:val="20"/>
          <w:u w:val="single"/>
        </w:rPr>
        <w:t>Management of Thyroid Nodules and Differentiated Thyroid Cancer</w:t>
      </w:r>
      <w:r>
        <w:rPr>
          <w:rFonts w:ascii="Arial" w:hAnsi="Arial" w:cs="Arial"/>
          <w:sz w:val="20"/>
          <w:szCs w:val="20"/>
        </w:rPr>
        <w:t>.  2017.  Springer.</w:t>
      </w:r>
      <w:bookmarkEnd w:id="6"/>
    </w:p>
    <w:p w14:paraId="671DB902" w14:textId="17EEB321" w:rsidR="0049145B" w:rsidRPr="002369BD" w:rsidRDefault="003D3ED1"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3</w:t>
      </w:r>
      <w:r w:rsidR="00603B9E">
        <w:rPr>
          <w:rFonts w:ascii="Arial" w:hAnsi="Arial" w:cs="Arial"/>
          <w:sz w:val="20"/>
          <w:szCs w:val="20"/>
        </w:rPr>
        <w:t>6</w:t>
      </w:r>
      <w:r w:rsidR="001A3937" w:rsidRPr="002369BD">
        <w:rPr>
          <w:rFonts w:ascii="Arial" w:hAnsi="Arial" w:cs="Arial"/>
          <w:sz w:val="20"/>
          <w:szCs w:val="20"/>
        </w:rPr>
        <w:t xml:space="preserve">.  </w:t>
      </w:r>
      <w:r w:rsidR="0049145B" w:rsidRPr="002369BD">
        <w:rPr>
          <w:rFonts w:ascii="Arial" w:hAnsi="Arial" w:cs="Arial"/>
          <w:sz w:val="20"/>
          <w:szCs w:val="20"/>
        </w:rPr>
        <w:t xml:space="preserve">Sarkar SD, </w:t>
      </w:r>
      <w:proofErr w:type="spellStart"/>
      <w:r w:rsidR="0049145B" w:rsidRPr="002369BD">
        <w:rPr>
          <w:rFonts w:ascii="Arial" w:hAnsi="Arial" w:cs="Arial"/>
          <w:sz w:val="20"/>
          <w:szCs w:val="20"/>
        </w:rPr>
        <w:t>Kalapparambath</w:t>
      </w:r>
      <w:proofErr w:type="spellEnd"/>
      <w:r w:rsidR="0049145B" w:rsidRPr="002369BD">
        <w:rPr>
          <w:rFonts w:ascii="Arial" w:hAnsi="Arial" w:cs="Arial"/>
          <w:sz w:val="20"/>
          <w:szCs w:val="20"/>
        </w:rPr>
        <w:t xml:space="preserve"> TP, </w:t>
      </w:r>
      <w:proofErr w:type="spellStart"/>
      <w:r w:rsidR="0049145B" w:rsidRPr="002369BD">
        <w:rPr>
          <w:rFonts w:ascii="Arial" w:hAnsi="Arial" w:cs="Arial"/>
          <w:sz w:val="20"/>
          <w:szCs w:val="20"/>
        </w:rPr>
        <w:t>Palestro</w:t>
      </w:r>
      <w:proofErr w:type="spellEnd"/>
      <w:r w:rsidR="0049145B" w:rsidRPr="002369BD">
        <w:rPr>
          <w:rFonts w:ascii="Arial" w:hAnsi="Arial" w:cs="Arial"/>
          <w:sz w:val="20"/>
          <w:szCs w:val="20"/>
        </w:rPr>
        <w:t xml:space="preserve"> CJ. Comparison of 123I and 131I for whole-body imaging in thyroid cancer. </w:t>
      </w:r>
      <w:r w:rsidR="0049145B" w:rsidRPr="002369BD">
        <w:rPr>
          <w:rFonts w:ascii="Arial" w:hAnsi="Arial" w:cs="Arial"/>
          <w:i/>
          <w:sz w:val="20"/>
          <w:szCs w:val="20"/>
        </w:rPr>
        <w:t xml:space="preserve">J </w:t>
      </w:r>
      <w:proofErr w:type="spellStart"/>
      <w:r w:rsidR="0049145B" w:rsidRPr="002369BD">
        <w:rPr>
          <w:rFonts w:ascii="Arial" w:hAnsi="Arial" w:cs="Arial"/>
          <w:i/>
          <w:sz w:val="20"/>
          <w:szCs w:val="20"/>
        </w:rPr>
        <w:t>Nucl</w:t>
      </w:r>
      <w:proofErr w:type="spellEnd"/>
      <w:r w:rsidR="0049145B" w:rsidRPr="002369BD">
        <w:rPr>
          <w:rFonts w:ascii="Arial" w:hAnsi="Arial" w:cs="Arial"/>
          <w:i/>
          <w:sz w:val="20"/>
          <w:szCs w:val="20"/>
        </w:rPr>
        <w:t xml:space="preserve"> Med</w:t>
      </w:r>
      <w:r w:rsidR="0049145B" w:rsidRPr="002369BD">
        <w:rPr>
          <w:rFonts w:ascii="Arial" w:hAnsi="Arial" w:cs="Arial"/>
          <w:sz w:val="20"/>
          <w:szCs w:val="20"/>
        </w:rPr>
        <w:t xml:space="preserve">. 2002; 43: 632–4. </w:t>
      </w:r>
    </w:p>
    <w:p w14:paraId="225CF72E" w14:textId="21F01363" w:rsidR="001D2AF4" w:rsidRPr="002369BD" w:rsidRDefault="003D3ED1"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3</w:t>
      </w:r>
      <w:r w:rsidR="00603B9E">
        <w:rPr>
          <w:rFonts w:ascii="Arial" w:hAnsi="Arial" w:cs="Arial"/>
          <w:sz w:val="20"/>
          <w:szCs w:val="20"/>
        </w:rPr>
        <w:t>7</w:t>
      </w:r>
      <w:r w:rsidRPr="002369BD">
        <w:rPr>
          <w:rFonts w:ascii="Arial" w:hAnsi="Arial" w:cs="Arial"/>
          <w:sz w:val="20"/>
          <w:szCs w:val="20"/>
        </w:rPr>
        <w:t>.</w:t>
      </w:r>
      <w:r w:rsidR="001D2AF4" w:rsidRPr="002369BD">
        <w:rPr>
          <w:rFonts w:ascii="Arial" w:hAnsi="Arial" w:cs="Arial"/>
          <w:sz w:val="20"/>
          <w:szCs w:val="20"/>
        </w:rPr>
        <w:t xml:space="preserve">Sawka AM, Ibrahim-Zada I, </w:t>
      </w:r>
      <w:proofErr w:type="spellStart"/>
      <w:r w:rsidR="001D2AF4" w:rsidRPr="002369BD">
        <w:rPr>
          <w:rFonts w:ascii="Arial" w:hAnsi="Arial" w:cs="Arial"/>
          <w:sz w:val="20"/>
          <w:szCs w:val="20"/>
        </w:rPr>
        <w:t>Galacgac</w:t>
      </w:r>
      <w:proofErr w:type="spellEnd"/>
      <w:r w:rsidR="001D2AF4" w:rsidRPr="002369BD">
        <w:rPr>
          <w:rFonts w:ascii="Arial" w:hAnsi="Arial" w:cs="Arial"/>
          <w:sz w:val="20"/>
          <w:szCs w:val="20"/>
        </w:rPr>
        <w:t xml:space="preserve"> P, et al. Dietary iodine restriction in preparation for radioactive</w:t>
      </w:r>
      <w:r w:rsidRPr="002369BD">
        <w:rPr>
          <w:rFonts w:ascii="Arial" w:hAnsi="Arial" w:cs="Arial"/>
          <w:sz w:val="20"/>
          <w:szCs w:val="20"/>
        </w:rPr>
        <w:t xml:space="preserve"> </w:t>
      </w:r>
      <w:r w:rsidR="001D2AF4" w:rsidRPr="002369BD">
        <w:rPr>
          <w:rFonts w:ascii="Arial" w:hAnsi="Arial" w:cs="Arial"/>
          <w:sz w:val="20"/>
          <w:szCs w:val="20"/>
        </w:rPr>
        <w:t xml:space="preserve">iodine treatment or scanning in well-differentiated thyroid cancer: a systematic review. </w:t>
      </w:r>
      <w:r w:rsidR="001D2AF4" w:rsidRPr="002369BD">
        <w:rPr>
          <w:rFonts w:ascii="Arial" w:hAnsi="Arial" w:cs="Arial"/>
          <w:i/>
          <w:sz w:val="20"/>
          <w:szCs w:val="20"/>
        </w:rPr>
        <w:t>Thyroid</w:t>
      </w:r>
      <w:r w:rsidRPr="002369BD">
        <w:rPr>
          <w:rFonts w:ascii="Arial" w:hAnsi="Arial" w:cs="Arial"/>
          <w:sz w:val="20"/>
          <w:szCs w:val="20"/>
        </w:rPr>
        <w:t xml:space="preserve">. </w:t>
      </w:r>
      <w:r w:rsidR="001D2AF4" w:rsidRPr="002369BD">
        <w:rPr>
          <w:rFonts w:ascii="Arial" w:hAnsi="Arial" w:cs="Arial"/>
          <w:sz w:val="20"/>
          <w:szCs w:val="20"/>
        </w:rPr>
        <w:t>2010;</w:t>
      </w:r>
      <w:r w:rsidRPr="002369BD">
        <w:rPr>
          <w:rFonts w:ascii="Arial" w:hAnsi="Arial" w:cs="Arial"/>
          <w:sz w:val="20"/>
          <w:szCs w:val="20"/>
        </w:rPr>
        <w:t xml:space="preserve"> </w:t>
      </w:r>
      <w:r w:rsidR="001D2AF4" w:rsidRPr="002369BD">
        <w:rPr>
          <w:rFonts w:ascii="Arial" w:hAnsi="Arial" w:cs="Arial"/>
          <w:sz w:val="20"/>
          <w:szCs w:val="20"/>
        </w:rPr>
        <w:t>20:1129-38.</w:t>
      </w:r>
    </w:p>
    <w:p w14:paraId="66652BE1" w14:textId="1B8A2A42" w:rsidR="00ED3BC7" w:rsidRPr="002369BD" w:rsidRDefault="008654DD"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3</w:t>
      </w:r>
      <w:r w:rsidR="00603B9E">
        <w:rPr>
          <w:rFonts w:ascii="Arial" w:hAnsi="Arial" w:cs="Arial"/>
          <w:sz w:val="20"/>
          <w:szCs w:val="20"/>
        </w:rPr>
        <w:t>8</w:t>
      </w:r>
      <w:r w:rsidR="001A3937" w:rsidRPr="002369BD">
        <w:rPr>
          <w:rFonts w:ascii="Arial" w:hAnsi="Arial" w:cs="Arial"/>
          <w:sz w:val="20"/>
          <w:szCs w:val="20"/>
        </w:rPr>
        <w:t xml:space="preserve">.  </w:t>
      </w:r>
      <w:r w:rsidR="00ED3BC7" w:rsidRPr="00AA496C">
        <w:rPr>
          <w:rFonts w:ascii="Arial" w:hAnsi="Arial" w:cs="Arial"/>
          <w:sz w:val="20"/>
          <w:szCs w:val="20"/>
        </w:rPr>
        <w:t xml:space="preserve">Sherman SI, </w:t>
      </w:r>
      <w:proofErr w:type="spellStart"/>
      <w:r w:rsidR="00ED3BC7" w:rsidRPr="00AA496C">
        <w:rPr>
          <w:rFonts w:ascii="Arial" w:hAnsi="Arial" w:cs="Arial"/>
          <w:sz w:val="20"/>
          <w:szCs w:val="20"/>
        </w:rPr>
        <w:t>Tielens</w:t>
      </w:r>
      <w:proofErr w:type="spellEnd"/>
      <w:r w:rsidR="00ED3BC7" w:rsidRPr="00AA496C">
        <w:rPr>
          <w:rFonts w:ascii="Arial" w:hAnsi="Arial" w:cs="Arial"/>
          <w:sz w:val="20"/>
          <w:szCs w:val="20"/>
        </w:rPr>
        <w:t xml:space="preserve"> ET, </w:t>
      </w:r>
      <w:proofErr w:type="spellStart"/>
      <w:r w:rsidR="00ED3BC7" w:rsidRPr="00AA496C">
        <w:rPr>
          <w:rFonts w:ascii="Arial" w:hAnsi="Arial" w:cs="Arial"/>
          <w:sz w:val="20"/>
          <w:szCs w:val="20"/>
        </w:rPr>
        <w:t>Sostre</w:t>
      </w:r>
      <w:proofErr w:type="spellEnd"/>
      <w:r w:rsidR="00ED3BC7" w:rsidRPr="00AA496C">
        <w:rPr>
          <w:rFonts w:ascii="Arial" w:hAnsi="Arial" w:cs="Arial"/>
          <w:sz w:val="20"/>
          <w:szCs w:val="20"/>
        </w:rPr>
        <w:t xml:space="preserve"> S, et al. </w:t>
      </w:r>
      <w:r w:rsidR="00ED3BC7" w:rsidRPr="002369BD">
        <w:rPr>
          <w:rFonts w:ascii="Arial" w:hAnsi="Arial" w:cs="Arial"/>
          <w:sz w:val="20"/>
          <w:szCs w:val="20"/>
        </w:rPr>
        <w:t xml:space="preserve">Clinical utility of post-treatment </w:t>
      </w:r>
      <w:r w:rsidR="001A3937" w:rsidRPr="002369BD">
        <w:rPr>
          <w:rFonts w:ascii="Arial" w:hAnsi="Arial" w:cs="Arial"/>
          <w:sz w:val="20"/>
          <w:szCs w:val="20"/>
        </w:rPr>
        <w:t>r</w:t>
      </w:r>
      <w:r w:rsidR="00ED3BC7" w:rsidRPr="002369BD">
        <w:rPr>
          <w:rFonts w:ascii="Arial" w:hAnsi="Arial" w:cs="Arial"/>
          <w:sz w:val="20"/>
          <w:szCs w:val="20"/>
        </w:rPr>
        <w:t xml:space="preserve">adioiodine scans in the management of patients with thyroid carcinoma. </w:t>
      </w:r>
      <w:r w:rsidR="00ED3BC7" w:rsidRPr="002369BD">
        <w:rPr>
          <w:rFonts w:ascii="Arial" w:hAnsi="Arial" w:cs="Arial"/>
          <w:i/>
          <w:sz w:val="20"/>
          <w:szCs w:val="20"/>
        </w:rPr>
        <w:t xml:space="preserve">J Clin Endocrinol </w:t>
      </w:r>
      <w:proofErr w:type="spellStart"/>
      <w:r w:rsidR="00ED3BC7" w:rsidRPr="002369BD">
        <w:rPr>
          <w:rFonts w:ascii="Arial" w:hAnsi="Arial" w:cs="Arial"/>
          <w:i/>
          <w:sz w:val="20"/>
          <w:szCs w:val="20"/>
        </w:rPr>
        <w:t>Metab</w:t>
      </w:r>
      <w:proofErr w:type="spellEnd"/>
      <w:r w:rsidR="00ED3BC7" w:rsidRPr="002369BD">
        <w:rPr>
          <w:rFonts w:ascii="Arial" w:hAnsi="Arial" w:cs="Arial"/>
          <w:sz w:val="20"/>
          <w:szCs w:val="20"/>
        </w:rPr>
        <w:t xml:space="preserve">. 1994; 78: 629–34. </w:t>
      </w:r>
    </w:p>
    <w:p w14:paraId="52F57CB9" w14:textId="46C65FF2" w:rsidR="00ED3BC7" w:rsidRPr="002369BD" w:rsidRDefault="008654DD"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3</w:t>
      </w:r>
      <w:r w:rsidR="00603B9E">
        <w:rPr>
          <w:rFonts w:ascii="Arial" w:hAnsi="Arial" w:cs="Arial"/>
          <w:sz w:val="20"/>
          <w:szCs w:val="20"/>
        </w:rPr>
        <w:t>9</w:t>
      </w:r>
      <w:r w:rsidR="001A3937" w:rsidRPr="002369BD">
        <w:rPr>
          <w:rFonts w:ascii="Arial" w:hAnsi="Arial" w:cs="Arial"/>
          <w:sz w:val="20"/>
          <w:szCs w:val="20"/>
        </w:rPr>
        <w:t xml:space="preserve">.  </w:t>
      </w:r>
      <w:r w:rsidR="00ED3BC7" w:rsidRPr="00AA496C">
        <w:rPr>
          <w:rFonts w:ascii="Arial" w:hAnsi="Arial" w:cs="Arial"/>
          <w:sz w:val="20"/>
          <w:szCs w:val="20"/>
        </w:rPr>
        <w:t xml:space="preserve">Shiga T, Tsukamoto E Nakada K, et al. </w:t>
      </w:r>
      <w:r w:rsidR="00ED3BC7" w:rsidRPr="002369BD">
        <w:rPr>
          <w:rFonts w:ascii="Arial" w:hAnsi="Arial" w:cs="Arial"/>
          <w:sz w:val="20"/>
          <w:szCs w:val="20"/>
        </w:rPr>
        <w:t xml:space="preserve">Comparison of 18F-FDG, 131I-Na, and 201Tl in diagnosis of recurrent or metastatic thyroid carcinoma. </w:t>
      </w:r>
      <w:r w:rsidR="00ED3BC7" w:rsidRPr="002369BD">
        <w:rPr>
          <w:rFonts w:ascii="Arial" w:hAnsi="Arial" w:cs="Arial"/>
          <w:i/>
          <w:sz w:val="20"/>
          <w:szCs w:val="20"/>
        </w:rPr>
        <w:t xml:space="preserve">J </w:t>
      </w:r>
      <w:proofErr w:type="spellStart"/>
      <w:r w:rsidR="00ED3BC7" w:rsidRPr="002369BD">
        <w:rPr>
          <w:rFonts w:ascii="Arial" w:hAnsi="Arial" w:cs="Arial"/>
          <w:i/>
          <w:sz w:val="20"/>
          <w:szCs w:val="20"/>
        </w:rPr>
        <w:t>Nucl</w:t>
      </w:r>
      <w:proofErr w:type="spellEnd"/>
      <w:r w:rsidR="00ED3BC7" w:rsidRPr="002369BD">
        <w:rPr>
          <w:rFonts w:ascii="Arial" w:hAnsi="Arial" w:cs="Arial"/>
          <w:i/>
          <w:sz w:val="20"/>
          <w:szCs w:val="20"/>
        </w:rPr>
        <w:t xml:space="preserve"> Med</w:t>
      </w:r>
      <w:r w:rsidR="00ED3BC7" w:rsidRPr="002369BD">
        <w:rPr>
          <w:rFonts w:ascii="Arial" w:hAnsi="Arial" w:cs="Arial"/>
          <w:sz w:val="20"/>
          <w:szCs w:val="20"/>
        </w:rPr>
        <w:t xml:space="preserve">. 2001; 42:414–9. </w:t>
      </w:r>
    </w:p>
    <w:p w14:paraId="1AE97E50" w14:textId="10300BD5" w:rsidR="00344B60" w:rsidRPr="002369BD" w:rsidRDefault="00603B9E" w:rsidP="00CF38F9">
      <w:pPr>
        <w:tabs>
          <w:tab w:val="left" w:pos="360"/>
          <w:tab w:val="left" w:pos="630"/>
        </w:tabs>
        <w:spacing w:after="0" w:line="240" w:lineRule="auto"/>
        <w:rPr>
          <w:rFonts w:ascii="Arial" w:hAnsi="Arial" w:cs="Arial"/>
          <w:sz w:val="20"/>
          <w:szCs w:val="20"/>
        </w:rPr>
      </w:pPr>
      <w:r>
        <w:rPr>
          <w:rFonts w:ascii="Arial" w:hAnsi="Arial" w:cs="Arial"/>
          <w:sz w:val="20"/>
          <w:szCs w:val="20"/>
        </w:rPr>
        <w:t>40</w:t>
      </w:r>
      <w:r w:rsidR="00FE6EB7" w:rsidRPr="002369BD">
        <w:rPr>
          <w:rFonts w:ascii="Arial" w:hAnsi="Arial" w:cs="Arial"/>
          <w:sz w:val="20"/>
          <w:szCs w:val="20"/>
        </w:rPr>
        <w:t xml:space="preserve">.  </w:t>
      </w:r>
      <w:r w:rsidR="00344B60" w:rsidRPr="002369BD">
        <w:rPr>
          <w:rFonts w:ascii="Arial" w:hAnsi="Arial" w:cs="Arial"/>
          <w:sz w:val="20"/>
          <w:szCs w:val="20"/>
        </w:rPr>
        <w:t xml:space="preserve">Sisson JC. Selection of the optimal scanning agent for thyroid cancer. </w:t>
      </w:r>
      <w:r w:rsidR="00344B60" w:rsidRPr="002369BD">
        <w:rPr>
          <w:rFonts w:ascii="Arial" w:hAnsi="Arial" w:cs="Arial"/>
          <w:i/>
          <w:sz w:val="20"/>
          <w:szCs w:val="20"/>
        </w:rPr>
        <w:t>Thyroid</w:t>
      </w:r>
      <w:r w:rsidR="00344B60" w:rsidRPr="002369BD">
        <w:rPr>
          <w:rFonts w:ascii="Arial" w:hAnsi="Arial" w:cs="Arial"/>
          <w:sz w:val="20"/>
          <w:szCs w:val="20"/>
        </w:rPr>
        <w:t xml:space="preserve">. 1997; 7: 295–302. </w:t>
      </w:r>
    </w:p>
    <w:p w14:paraId="52AB9D26" w14:textId="003543A0" w:rsidR="007F49FB" w:rsidRPr="002369BD" w:rsidRDefault="001E2957" w:rsidP="00CF38F9">
      <w:pPr>
        <w:tabs>
          <w:tab w:val="left" w:pos="360"/>
          <w:tab w:val="left" w:pos="630"/>
        </w:tabs>
        <w:spacing w:after="0" w:line="240" w:lineRule="auto"/>
        <w:rPr>
          <w:rFonts w:ascii="Arial" w:hAnsi="Arial" w:cs="Arial"/>
          <w:sz w:val="20"/>
          <w:szCs w:val="20"/>
        </w:rPr>
      </w:pPr>
      <w:r>
        <w:rPr>
          <w:rFonts w:ascii="Arial" w:hAnsi="Arial" w:cs="Arial"/>
          <w:sz w:val="20"/>
          <w:szCs w:val="20"/>
        </w:rPr>
        <w:t>4</w:t>
      </w:r>
      <w:r w:rsidR="00603B9E">
        <w:rPr>
          <w:rFonts w:ascii="Arial" w:hAnsi="Arial" w:cs="Arial"/>
          <w:sz w:val="20"/>
          <w:szCs w:val="20"/>
        </w:rPr>
        <w:t>1</w:t>
      </w:r>
      <w:r w:rsidR="00B65185" w:rsidRPr="002369BD">
        <w:rPr>
          <w:rFonts w:ascii="Arial" w:hAnsi="Arial" w:cs="Arial"/>
          <w:sz w:val="20"/>
          <w:szCs w:val="20"/>
        </w:rPr>
        <w:t xml:space="preserve">.  </w:t>
      </w:r>
      <w:r w:rsidR="007F49FB" w:rsidRPr="002369BD">
        <w:rPr>
          <w:rFonts w:ascii="Arial" w:hAnsi="Arial" w:cs="Arial"/>
          <w:sz w:val="20"/>
          <w:szCs w:val="20"/>
        </w:rPr>
        <w:t xml:space="preserve">Song H, </w:t>
      </w:r>
      <w:proofErr w:type="spellStart"/>
      <w:r w:rsidR="007F49FB" w:rsidRPr="002369BD">
        <w:rPr>
          <w:rFonts w:ascii="Arial" w:hAnsi="Arial" w:cs="Arial"/>
          <w:sz w:val="20"/>
          <w:szCs w:val="20"/>
        </w:rPr>
        <w:t>Mosci</w:t>
      </w:r>
      <w:proofErr w:type="spellEnd"/>
      <w:r w:rsidR="007F49FB" w:rsidRPr="002369BD">
        <w:rPr>
          <w:rFonts w:ascii="Arial" w:hAnsi="Arial" w:cs="Arial"/>
          <w:sz w:val="20"/>
          <w:szCs w:val="20"/>
        </w:rPr>
        <w:t xml:space="preserve"> C, </w:t>
      </w:r>
      <w:proofErr w:type="spellStart"/>
      <w:r w:rsidR="007F49FB" w:rsidRPr="002369BD">
        <w:rPr>
          <w:rFonts w:ascii="Arial" w:hAnsi="Arial" w:cs="Arial"/>
          <w:sz w:val="20"/>
          <w:szCs w:val="20"/>
        </w:rPr>
        <w:t>Akatsu</w:t>
      </w:r>
      <w:proofErr w:type="spellEnd"/>
      <w:r w:rsidR="007F49FB" w:rsidRPr="002369BD">
        <w:rPr>
          <w:rFonts w:ascii="Arial" w:hAnsi="Arial" w:cs="Arial"/>
          <w:sz w:val="20"/>
          <w:szCs w:val="20"/>
        </w:rPr>
        <w:t xml:space="preserve"> H, et al.  Diagnostic 123I whole body scan prior to ablation of thyroid remnant in patients with papillary thyroid cancer: implications for clinical management.  </w:t>
      </w:r>
      <w:r w:rsidR="007F49FB" w:rsidRPr="002369BD">
        <w:rPr>
          <w:rFonts w:ascii="Arial" w:hAnsi="Arial" w:cs="Arial"/>
          <w:i/>
          <w:sz w:val="20"/>
          <w:szCs w:val="20"/>
        </w:rPr>
        <w:t xml:space="preserve">Clin </w:t>
      </w:r>
      <w:proofErr w:type="spellStart"/>
      <w:r w:rsidR="007F49FB" w:rsidRPr="002369BD">
        <w:rPr>
          <w:rFonts w:ascii="Arial" w:hAnsi="Arial" w:cs="Arial"/>
          <w:i/>
          <w:sz w:val="20"/>
          <w:szCs w:val="20"/>
        </w:rPr>
        <w:t>Nucl</w:t>
      </w:r>
      <w:proofErr w:type="spellEnd"/>
      <w:r w:rsidR="007F49FB" w:rsidRPr="002369BD">
        <w:rPr>
          <w:rFonts w:ascii="Arial" w:hAnsi="Arial" w:cs="Arial"/>
          <w:i/>
          <w:sz w:val="20"/>
          <w:szCs w:val="20"/>
        </w:rPr>
        <w:t xml:space="preserve"> Med</w:t>
      </w:r>
      <w:r w:rsidR="007F49FB" w:rsidRPr="002369BD">
        <w:rPr>
          <w:rFonts w:ascii="Arial" w:hAnsi="Arial" w:cs="Arial"/>
          <w:sz w:val="20"/>
          <w:szCs w:val="20"/>
        </w:rPr>
        <w:t>.  2018; 43:705-9.</w:t>
      </w:r>
    </w:p>
    <w:p w14:paraId="1546F0A2" w14:textId="63E8C88C" w:rsidR="00316674" w:rsidRDefault="001E2957" w:rsidP="00CF38F9">
      <w:pPr>
        <w:tabs>
          <w:tab w:val="left" w:pos="360"/>
          <w:tab w:val="left" w:pos="630"/>
        </w:tabs>
        <w:spacing w:after="0" w:line="240" w:lineRule="auto"/>
        <w:rPr>
          <w:rFonts w:ascii="Arial" w:hAnsi="Arial" w:cs="Arial"/>
          <w:sz w:val="20"/>
          <w:szCs w:val="20"/>
        </w:rPr>
      </w:pPr>
      <w:r>
        <w:rPr>
          <w:rFonts w:ascii="Arial" w:hAnsi="Arial" w:cs="Arial"/>
          <w:sz w:val="20"/>
          <w:szCs w:val="20"/>
        </w:rPr>
        <w:t>4</w:t>
      </w:r>
      <w:r w:rsidR="00603B9E">
        <w:rPr>
          <w:rFonts w:ascii="Arial" w:hAnsi="Arial" w:cs="Arial"/>
          <w:sz w:val="20"/>
          <w:szCs w:val="20"/>
        </w:rPr>
        <w:t>2</w:t>
      </w:r>
      <w:r w:rsidR="00B65185" w:rsidRPr="002369BD">
        <w:rPr>
          <w:rFonts w:ascii="Arial" w:hAnsi="Arial" w:cs="Arial"/>
          <w:sz w:val="20"/>
          <w:szCs w:val="20"/>
        </w:rPr>
        <w:t xml:space="preserve">.  </w:t>
      </w:r>
      <w:proofErr w:type="spellStart"/>
      <w:r w:rsidR="00316674" w:rsidRPr="002369BD">
        <w:rPr>
          <w:rFonts w:ascii="Arial" w:hAnsi="Arial" w:cs="Arial"/>
          <w:sz w:val="20"/>
          <w:szCs w:val="20"/>
        </w:rPr>
        <w:t>Stangierski</w:t>
      </w:r>
      <w:proofErr w:type="spellEnd"/>
      <w:r w:rsidR="00316674" w:rsidRPr="002369BD">
        <w:rPr>
          <w:rFonts w:ascii="Arial" w:hAnsi="Arial" w:cs="Arial"/>
          <w:sz w:val="20"/>
          <w:szCs w:val="20"/>
        </w:rPr>
        <w:t xml:space="preserve"> A, </w:t>
      </w:r>
      <w:proofErr w:type="spellStart"/>
      <w:r w:rsidR="00316674" w:rsidRPr="002369BD">
        <w:rPr>
          <w:rFonts w:ascii="Arial" w:hAnsi="Arial" w:cs="Arial"/>
          <w:sz w:val="20"/>
          <w:szCs w:val="20"/>
        </w:rPr>
        <w:t>Kaznowski</w:t>
      </w:r>
      <w:proofErr w:type="spellEnd"/>
      <w:r w:rsidR="00316674" w:rsidRPr="002369BD">
        <w:rPr>
          <w:rFonts w:ascii="Arial" w:hAnsi="Arial" w:cs="Arial"/>
          <w:sz w:val="20"/>
          <w:szCs w:val="20"/>
        </w:rPr>
        <w:t xml:space="preserve"> J, </w:t>
      </w:r>
      <w:proofErr w:type="spellStart"/>
      <w:r w:rsidR="00316674" w:rsidRPr="002369BD">
        <w:rPr>
          <w:rFonts w:ascii="Arial" w:hAnsi="Arial" w:cs="Arial"/>
          <w:sz w:val="20"/>
          <w:szCs w:val="20"/>
        </w:rPr>
        <w:t>Wolinski</w:t>
      </w:r>
      <w:proofErr w:type="spellEnd"/>
      <w:r w:rsidR="00316674" w:rsidRPr="002369BD">
        <w:rPr>
          <w:rFonts w:ascii="Arial" w:hAnsi="Arial" w:cs="Arial"/>
          <w:sz w:val="20"/>
          <w:szCs w:val="20"/>
        </w:rPr>
        <w:t xml:space="preserve"> K, et al.  The usefulness of fluorine-18 fluorodeoxyglucose PET in the detection of recurrence in patients with differentiated thyroid cancer with elevated thyroglobulin and negative </w:t>
      </w:r>
      <w:proofErr w:type="spellStart"/>
      <w:r w:rsidR="00316674" w:rsidRPr="002369BD">
        <w:rPr>
          <w:rFonts w:ascii="Arial" w:hAnsi="Arial" w:cs="Arial"/>
          <w:sz w:val="20"/>
          <w:szCs w:val="20"/>
        </w:rPr>
        <w:t>radioodine</w:t>
      </w:r>
      <w:proofErr w:type="spellEnd"/>
      <w:r w:rsidR="00316674" w:rsidRPr="002369BD">
        <w:rPr>
          <w:rFonts w:ascii="Arial" w:hAnsi="Arial" w:cs="Arial"/>
          <w:sz w:val="20"/>
          <w:szCs w:val="20"/>
        </w:rPr>
        <w:t xml:space="preserve"> whole body scan.  </w:t>
      </w:r>
      <w:proofErr w:type="spellStart"/>
      <w:r w:rsidR="00316674" w:rsidRPr="002369BD">
        <w:rPr>
          <w:rFonts w:ascii="Arial" w:hAnsi="Arial" w:cs="Arial"/>
          <w:i/>
          <w:sz w:val="20"/>
          <w:szCs w:val="20"/>
        </w:rPr>
        <w:t>Nucl</w:t>
      </w:r>
      <w:proofErr w:type="spellEnd"/>
      <w:r w:rsidR="00316674" w:rsidRPr="002369BD">
        <w:rPr>
          <w:rFonts w:ascii="Arial" w:hAnsi="Arial" w:cs="Arial"/>
          <w:i/>
          <w:sz w:val="20"/>
          <w:szCs w:val="20"/>
        </w:rPr>
        <w:t xml:space="preserve"> Med </w:t>
      </w:r>
      <w:proofErr w:type="spellStart"/>
      <w:r w:rsidR="00316674" w:rsidRPr="002369BD">
        <w:rPr>
          <w:rFonts w:ascii="Arial" w:hAnsi="Arial" w:cs="Arial"/>
          <w:i/>
          <w:sz w:val="20"/>
          <w:szCs w:val="20"/>
        </w:rPr>
        <w:t>Commun</w:t>
      </w:r>
      <w:proofErr w:type="spellEnd"/>
      <w:r w:rsidR="00316674" w:rsidRPr="002369BD">
        <w:rPr>
          <w:rFonts w:ascii="Arial" w:hAnsi="Arial" w:cs="Arial"/>
          <w:i/>
          <w:sz w:val="20"/>
          <w:szCs w:val="20"/>
        </w:rPr>
        <w:t xml:space="preserve">.  </w:t>
      </w:r>
      <w:r w:rsidR="00316674" w:rsidRPr="002369BD">
        <w:rPr>
          <w:rFonts w:ascii="Arial" w:hAnsi="Arial" w:cs="Arial"/>
          <w:sz w:val="20"/>
          <w:szCs w:val="20"/>
        </w:rPr>
        <w:t>2016; 37:935-8.</w:t>
      </w:r>
    </w:p>
    <w:p w14:paraId="6A4FCDCA" w14:textId="69D55C73" w:rsidR="00DD673F" w:rsidRPr="002369BD" w:rsidRDefault="00603B9E" w:rsidP="00CF38F9">
      <w:pPr>
        <w:tabs>
          <w:tab w:val="left" w:pos="360"/>
          <w:tab w:val="left" w:pos="630"/>
        </w:tabs>
        <w:spacing w:after="0" w:line="240" w:lineRule="auto"/>
        <w:rPr>
          <w:rFonts w:ascii="Arial" w:hAnsi="Arial" w:cs="Arial"/>
          <w:sz w:val="20"/>
          <w:szCs w:val="20"/>
        </w:rPr>
      </w:pPr>
      <w:r>
        <w:rPr>
          <w:rFonts w:ascii="Arial" w:hAnsi="Arial" w:cs="Arial"/>
          <w:sz w:val="20"/>
          <w:szCs w:val="20"/>
        </w:rPr>
        <w:t xml:space="preserve">43. </w:t>
      </w:r>
      <w:r w:rsidR="00DD673F">
        <w:rPr>
          <w:rFonts w:ascii="Arial" w:hAnsi="Arial" w:cs="Arial"/>
          <w:sz w:val="20"/>
          <w:szCs w:val="20"/>
        </w:rPr>
        <w:t xml:space="preserve">Treves ST, Gelfand MJ, Fahey, FH, et al.  2016 update of the north </w:t>
      </w:r>
      <w:proofErr w:type="spellStart"/>
      <w:r w:rsidR="00DD673F">
        <w:rPr>
          <w:rFonts w:ascii="Arial" w:hAnsi="Arial" w:cs="Arial"/>
          <w:sz w:val="20"/>
          <w:szCs w:val="20"/>
        </w:rPr>
        <w:t>american</w:t>
      </w:r>
      <w:proofErr w:type="spellEnd"/>
      <w:r w:rsidR="00DD673F">
        <w:rPr>
          <w:rFonts w:ascii="Arial" w:hAnsi="Arial" w:cs="Arial"/>
          <w:sz w:val="20"/>
          <w:szCs w:val="20"/>
        </w:rPr>
        <w:t xml:space="preserve"> consensus guidelines for pediatric administered radiopharmaceutical activities.  2016; 57:15N-18N.</w:t>
      </w:r>
    </w:p>
    <w:p w14:paraId="4C5CCA9E" w14:textId="30A0D98B" w:rsidR="00293579" w:rsidRPr="002369BD" w:rsidRDefault="001E2957"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4</w:t>
      </w:r>
      <w:r w:rsidR="00603B9E">
        <w:rPr>
          <w:rFonts w:ascii="Arial" w:hAnsi="Arial" w:cs="Arial"/>
          <w:sz w:val="20"/>
          <w:szCs w:val="20"/>
        </w:rPr>
        <w:t>4</w:t>
      </w:r>
      <w:r w:rsidR="00FE6EB7" w:rsidRPr="002369BD">
        <w:rPr>
          <w:rFonts w:ascii="Arial" w:hAnsi="Arial" w:cs="Arial"/>
          <w:sz w:val="20"/>
          <w:szCs w:val="20"/>
        </w:rPr>
        <w:t xml:space="preserve">.  </w:t>
      </w:r>
      <w:proofErr w:type="spellStart"/>
      <w:r w:rsidR="00293579" w:rsidRPr="002369BD">
        <w:rPr>
          <w:rFonts w:ascii="Arial" w:hAnsi="Arial" w:cs="Arial"/>
          <w:sz w:val="20"/>
          <w:szCs w:val="20"/>
        </w:rPr>
        <w:t>Urhan</w:t>
      </w:r>
      <w:proofErr w:type="spellEnd"/>
      <w:r w:rsidR="00293579" w:rsidRPr="002369BD">
        <w:rPr>
          <w:rFonts w:ascii="Arial" w:hAnsi="Arial" w:cs="Arial"/>
          <w:sz w:val="20"/>
          <w:szCs w:val="20"/>
        </w:rPr>
        <w:t xml:space="preserve"> M, Dadparvar S, </w:t>
      </w:r>
      <w:proofErr w:type="spellStart"/>
      <w:r w:rsidR="00293579" w:rsidRPr="002369BD">
        <w:rPr>
          <w:rFonts w:ascii="Arial" w:hAnsi="Arial" w:cs="Arial"/>
          <w:sz w:val="20"/>
          <w:szCs w:val="20"/>
        </w:rPr>
        <w:t>Mavi</w:t>
      </w:r>
      <w:proofErr w:type="spellEnd"/>
      <w:r w:rsidR="00293579" w:rsidRPr="002369BD">
        <w:rPr>
          <w:rFonts w:ascii="Arial" w:hAnsi="Arial" w:cs="Arial"/>
          <w:sz w:val="20"/>
          <w:szCs w:val="20"/>
        </w:rPr>
        <w:t xml:space="preserve"> A, et al.  Iodine-123 as a diagnostic imaging agent in differentiated thyroid carcinoma: a comparison with iodine-131 post-treatment scanning </w:t>
      </w:r>
      <w:r w:rsidR="00FE6EB7" w:rsidRPr="002369BD">
        <w:rPr>
          <w:rFonts w:ascii="Arial" w:hAnsi="Arial" w:cs="Arial"/>
          <w:sz w:val="20"/>
          <w:szCs w:val="20"/>
        </w:rPr>
        <w:t>a</w:t>
      </w:r>
      <w:r w:rsidR="00293579" w:rsidRPr="002369BD">
        <w:rPr>
          <w:rFonts w:ascii="Arial" w:hAnsi="Arial" w:cs="Arial"/>
          <w:sz w:val="20"/>
          <w:szCs w:val="20"/>
        </w:rPr>
        <w:t xml:space="preserve">nd serum thyroglobulin measurement.  </w:t>
      </w:r>
      <w:r w:rsidR="00293579" w:rsidRPr="002369BD">
        <w:rPr>
          <w:rFonts w:ascii="Arial" w:hAnsi="Arial" w:cs="Arial"/>
          <w:i/>
          <w:sz w:val="20"/>
          <w:szCs w:val="20"/>
        </w:rPr>
        <w:t xml:space="preserve">Eur J </w:t>
      </w:r>
      <w:proofErr w:type="spellStart"/>
      <w:r w:rsidR="00293579" w:rsidRPr="002369BD">
        <w:rPr>
          <w:rFonts w:ascii="Arial" w:hAnsi="Arial" w:cs="Arial"/>
          <w:i/>
          <w:sz w:val="20"/>
          <w:szCs w:val="20"/>
        </w:rPr>
        <w:t>Nucl</w:t>
      </w:r>
      <w:proofErr w:type="spellEnd"/>
      <w:r w:rsidR="00293579" w:rsidRPr="002369BD">
        <w:rPr>
          <w:rFonts w:ascii="Arial" w:hAnsi="Arial" w:cs="Arial"/>
          <w:i/>
          <w:sz w:val="20"/>
          <w:szCs w:val="20"/>
        </w:rPr>
        <w:t xml:space="preserve"> Med Mol Imaging</w:t>
      </w:r>
      <w:r w:rsidR="00293579" w:rsidRPr="002369BD">
        <w:rPr>
          <w:rFonts w:ascii="Arial" w:hAnsi="Arial" w:cs="Arial"/>
          <w:sz w:val="20"/>
          <w:szCs w:val="20"/>
        </w:rPr>
        <w:t xml:space="preserve">.  </w:t>
      </w:r>
      <w:proofErr w:type="gramStart"/>
      <w:r w:rsidR="00293579" w:rsidRPr="002369BD">
        <w:rPr>
          <w:rFonts w:ascii="Arial" w:hAnsi="Arial" w:cs="Arial"/>
          <w:sz w:val="20"/>
          <w:szCs w:val="20"/>
        </w:rPr>
        <w:t>2007;</w:t>
      </w:r>
      <w:r w:rsidR="00CF38F9" w:rsidRPr="002369BD">
        <w:rPr>
          <w:rFonts w:ascii="Arial" w:hAnsi="Arial" w:cs="Arial"/>
          <w:sz w:val="20"/>
          <w:szCs w:val="20"/>
        </w:rPr>
        <w:t>`</w:t>
      </w:r>
      <w:proofErr w:type="gramEnd"/>
      <w:r w:rsidR="00293579" w:rsidRPr="002369BD">
        <w:rPr>
          <w:rFonts w:ascii="Arial" w:hAnsi="Arial" w:cs="Arial"/>
          <w:sz w:val="20"/>
          <w:szCs w:val="20"/>
        </w:rPr>
        <w:t xml:space="preserve"> 34:1012-7.</w:t>
      </w:r>
    </w:p>
    <w:p w14:paraId="07FA53DE" w14:textId="47ACD9D3" w:rsidR="00D75D5E" w:rsidRPr="002369BD" w:rsidRDefault="008654DD"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4</w:t>
      </w:r>
      <w:r w:rsidR="00603B9E">
        <w:rPr>
          <w:rFonts w:ascii="Arial" w:hAnsi="Arial" w:cs="Arial"/>
          <w:sz w:val="20"/>
          <w:szCs w:val="20"/>
        </w:rPr>
        <w:t>5</w:t>
      </w:r>
      <w:r w:rsidR="00B65185" w:rsidRPr="002369BD">
        <w:rPr>
          <w:rFonts w:ascii="Arial" w:hAnsi="Arial" w:cs="Arial"/>
          <w:sz w:val="20"/>
          <w:szCs w:val="20"/>
        </w:rPr>
        <w:t xml:space="preserve">.  </w:t>
      </w:r>
      <w:proofErr w:type="spellStart"/>
      <w:r w:rsidR="00D75D5E" w:rsidRPr="002369BD">
        <w:rPr>
          <w:rFonts w:ascii="Arial" w:hAnsi="Arial" w:cs="Arial"/>
          <w:sz w:val="20"/>
          <w:szCs w:val="20"/>
        </w:rPr>
        <w:t>Walrand</w:t>
      </w:r>
      <w:proofErr w:type="spellEnd"/>
      <w:r w:rsidR="00D75D5E" w:rsidRPr="002369BD">
        <w:rPr>
          <w:rFonts w:ascii="Arial" w:hAnsi="Arial" w:cs="Arial"/>
          <w:sz w:val="20"/>
          <w:szCs w:val="20"/>
        </w:rPr>
        <w:t xml:space="preserve"> S, Hesse M, Jamar F.  Statistical and radiobiological analysis of the so-called thyroid stunning.  </w:t>
      </w:r>
      <w:r w:rsidR="00D75D5E" w:rsidRPr="002369BD">
        <w:rPr>
          <w:rFonts w:ascii="Arial" w:hAnsi="Arial" w:cs="Arial"/>
          <w:i/>
          <w:sz w:val="20"/>
          <w:szCs w:val="20"/>
        </w:rPr>
        <w:t xml:space="preserve">Eur J </w:t>
      </w:r>
      <w:proofErr w:type="spellStart"/>
      <w:r w:rsidR="00D75D5E" w:rsidRPr="002369BD">
        <w:rPr>
          <w:rFonts w:ascii="Arial" w:hAnsi="Arial" w:cs="Arial"/>
          <w:i/>
          <w:sz w:val="20"/>
          <w:szCs w:val="20"/>
        </w:rPr>
        <w:t>Nucl</w:t>
      </w:r>
      <w:proofErr w:type="spellEnd"/>
      <w:r w:rsidR="00D75D5E" w:rsidRPr="002369BD">
        <w:rPr>
          <w:rFonts w:ascii="Arial" w:hAnsi="Arial" w:cs="Arial"/>
          <w:i/>
          <w:sz w:val="20"/>
          <w:szCs w:val="20"/>
        </w:rPr>
        <w:t xml:space="preserve"> Med Mol </w:t>
      </w:r>
      <w:proofErr w:type="spellStart"/>
      <w:r w:rsidR="00D75D5E" w:rsidRPr="002369BD">
        <w:rPr>
          <w:rFonts w:ascii="Arial" w:hAnsi="Arial" w:cs="Arial"/>
          <w:i/>
          <w:sz w:val="20"/>
          <w:szCs w:val="20"/>
        </w:rPr>
        <w:t>Imag</w:t>
      </w:r>
      <w:proofErr w:type="spellEnd"/>
      <w:r w:rsidR="00D75D5E" w:rsidRPr="002369BD">
        <w:rPr>
          <w:rFonts w:ascii="Arial" w:hAnsi="Arial" w:cs="Arial"/>
          <w:sz w:val="20"/>
          <w:szCs w:val="20"/>
        </w:rPr>
        <w:t>.  2015; 5:67.</w:t>
      </w:r>
    </w:p>
    <w:p w14:paraId="22C9D576" w14:textId="5EB7C44C" w:rsidR="00344B60" w:rsidRPr="002369BD" w:rsidRDefault="008654DD"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4</w:t>
      </w:r>
      <w:r w:rsidR="00603B9E">
        <w:rPr>
          <w:rFonts w:ascii="Arial" w:hAnsi="Arial" w:cs="Arial"/>
          <w:sz w:val="20"/>
          <w:szCs w:val="20"/>
        </w:rPr>
        <w:t>6</w:t>
      </w:r>
      <w:r w:rsidR="00FE6EB7" w:rsidRPr="002369BD">
        <w:rPr>
          <w:rFonts w:ascii="Arial" w:hAnsi="Arial" w:cs="Arial"/>
          <w:sz w:val="20"/>
          <w:szCs w:val="20"/>
        </w:rPr>
        <w:t xml:space="preserve">.  </w:t>
      </w:r>
      <w:r w:rsidR="00344B60" w:rsidRPr="002369BD">
        <w:rPr>
          <w:rFonts w:ascii="Arial" w:hAnsi="Arial" w:cs="Arial"/>
          <w:sz w:val="20"/>
          <w:szCs w:val="20"/>
        </w:rPr>
        <w:t xml:space="preserve">Wang WW, Larson SM, </w:t>
      </w:r>
      <w:proofErr w:type="spellStart"/>
      <w:r w:rsidR="00344B60" w:rsidRPr="002369BD">
        <w:rPr>
          <w:rFonts w:ascii="Arial" w:hAnsi="Arial" w:cs="Arial"/>
          <w:sz w:val="20"/>
          <w:szCs w:val="20"/>
        </w:rPr>
        <w:t>Fazzari</w:t>
      </w:r>
      <w:proofErr w:type="spellEnd"/>
      <w:r w:rsidR="00344B60" w:rsidRPr="002369BD">
        <w:rPr>
          <w:rFonts w:ascii="Arial" w:hAnsi="Arial" w:cs="Arial"/>
          <w:sz w:val="20"/>
          <w:szCs w:val="20"/>
        </w:rPr>
        <w:t xml:space="preserve"> M, et al. Prognostic value of [18F] fluorodeoxyglucose positron emission tomographic scanning in patients with thyroid cancer. </w:t>
      </w:r>
      <w:r w:rsidR="00344B60" w:rsidRPr="002369BD">
        <w:rPr>
          <w:rFonts w:ascii="Arial" w:hAnsi="Arial" w:cs="Arial"/>
          <w:i/>
          <w:sz w:val="20"/>
          <w:szCs w:val="20"/>
        </w:rPr>
        <w:t xml:space="preserve">J Clin Endocrinol </w:t>
      </w:r>
      <w:proofErr w:type="spellStart"/>
      <w:r w:rsidR="00344B60" w:rsidRPr="002369BD">
        <w:rPr>
          <w:rFonts w:ascii="Arial" w:hAnsi="Arial" w:cs="Arial"/>
          <w:i/>
          <w:sz w:val="20"/>
          <w:szCs w:val="20"/>
        </w:rPr>
        <w:t>Metab</w:t>
      </w:r>
      <w:proofErr w:type="spellEnd"/>
      <w:r w:rsidR="00344B60" w:rsidRPr="002369BD">
        <w:rPr>
          <w:rFonts w:ascii="Arial" w:hAnsi="Arial" w:cs="Arial"/>
          <w:sz w:val="20"/>
          <w:szCs w:val="20"/>
        </w:rPr>
        <w:t xml:space="preserve">. </w:t>
      </w:r>
      <w:r w:rsidR="00927835" w:rsidRPr="002369BD">
        <w:rPr>
          <w:rFonts w:ascii="Arial" w:hAnsi="Arial" w:cs="Arial"/>
          <w:sz w:val="20"/>
          <w:szCs w:val="20"/>
        </w:rPr>
        <w:t>2000; 85:1107-13.</w:t>
      </w:r>
    </w:p>
    <w:p w14:paraId="4A3330F8" w14:textId="533BEBD6" w:rsidR="00AC6353" w:rsidRPr="002369BD" w:rsidRDefault="008654DD"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4</w:t>
      </w:r>
      <w:r w:rsidR="00603B9E">
        <w:rPr>
          <w:rFonts w:ascii="Arial" w:hAnsi="Arial" w:cs="Arial"/>
          <w:sz w:val="20"/>
          <w:szCs w:val="20"/>
        </w:rPr>
        <w:t>7</w:t>
      </w:r>
      <w:r w:rsidR="00B65185" w:rsidRPr="002369BD">
        <w:rPr>
          <w:rFonts w:ascii="Arial" w:hAnsi="Arial" w:cs="Arial"/>
          <w:sz w:val="20"/>
          <w:szCs w:val="20"/>
        </w:rPr>
        <w:t xml:space="preserve">.  </w:t>
      </w:r>
      <w:r w:rsidR="00AC6353" w:rsidRPr="002369BD">
        <w:rPr>
          <w:rFonts w:ascii="Arial" w:hAnsi="Arial" w:cs="Arial"/>
          <w:sz w:val="20"/>
          <w:szCs w:val="20"/>
        </w:rPr>
        <w:t xml:space="preserve">Weibel JL, Esfandiari NH, </w:t>
      </w:r>
      <w:proofErr w:type="spellStart"/>
      <w:r w:rsidR="00AC6353" w:rsidRPr="002369BD">
        <w:rPr>
          <w:rFonts w:ascii="Arial" w:hAnsi="Arial" w:cs="Arial"/>
          <w:sz w:val="20"/>
          <w:szCs w:val="20"/>
        </w:rPr>
        <w:t>Papaleonitiou</w:t>
      </w:r>
      <w:proofErr w:type="spellEnd"/>
      <w:r w:rsidR="00AC6353" w:rsidRPr="002369BD">
        <w:rPr>
          <w:rFonts w:ascii="Arial" w:hAnsi="Arial" w:cs="Arial"/>
          <w:sz w:val="20"/>
          <w:szCs w:val="20"/>
        </w:rPr>
        <w:t xml:space="preserve"> M, et al.  Evaluating </w:t>
      </w:r>
      <w:proofErr w:type="spellStart"/>
      <w:r w:rsidR="00AC6353" w:rsidRPr="002369BD">
        <w:rPr>
          <w:rFonts w:ascii="Arial" w:hAnsi="Arial" w:cs="Arial"/>
          <w:sz w:val="20"/>
          <w:szCs w:val="20"/>
        </w:rPr>
        <w:t>positrón</w:t>
      </w:r>
      <w:proofErr w:type="spellEnd"/>
      <w:r w:rsidR="00AC6353" w:rsidRPr="002369BD">
        <w:rPr>
          <w:rFonts w:ascii="Arial" w:hAnsi="Arial" w:cs="Arial"/>
          <w:sz w:val="20"/>
          <w:szCs w:val="20"/>
        </w:rPr>
        <w:t xml:space="preserve"> </w:t>
      </w:r>
      <w:proofErr w:type="spellStart"/>
      <w:r w:rsidR="00AC6353" w:rsidRPr="002369BD">
        <w:rPr>
          <w:rFonts w:ascii="Arial" w:hAnsi="Arial" w:cs="Arial"/>
          <w:sz w:val="20"/>
          <w:szCs w:val="20"/>
        </w:rPr>
        <w:t>emis</w:t>
      </w:r>
      <w:r w:rsidR="00B65185" w:rsidRPr="002369BD">
        <w:rPr>
          <w:rFonts w:ascii="Arial" w:hAnsi="Arial" w:cs="Arial"/>
          <w:sz w:val="20"/>
          <w:szCs w:val="20"/>
        </w:rPr>
        <w:t>s</w:t>
      </w:r>
      <w:r w:rsidR="00AC6353" w:rsidRPr="002369BD">
        <w:rPr>
          <w:rFonts w:ascii="Arial" w:hAnsi="Arial" w:cs="Arial"/>
          <w:sz w:val="20"/>
          <w:szCs w:val="20"/>
        </w:rPr>
        <w:t>ión</w:t>
      </w:r>
      <w:proofErr w:type="spellEnd"/>
      <w:r w:rsidR="00AC6353" w:rsidRPr="002369BD">
        <w:rPr>
          <w:rFonts w:ascii="Arial" w:hAnsi="Arial" w:cs="Arial"/>
          <w:sz w:val="20"/>
          <w:szCs w:val="20"/>
        </w:rPr>
        <w:t xml:space="preserve"> tomography use in differentiated thyroid cancer.  </w:t>
      </w:r>
      <w:r w:rsidR="00AC6353" w:rsidRPr="002369BD">
        <w:rPr>
          <w:rFonts w:ascii="Arial" w:hAnsi="Arial" w:cs="Arial"/>
          <w:i/>
          <w:sz w:val="20"/>
          <w:szCs w:val="20"/>
        </w:rPr>
        <w:t>Thyroid</w:t>
      </w:r>
      <w:r w:rsidR="00AC6353" w:rsidRPr="002369BD">
        <w:rPr>
          <w:rFonts w:ascii="Arial" w:hAnsi="Arial" w:cs="Arial"/>
          <w:sz w:val="20"/>
          <w:szCs w:val="20"/>
        </w:rPr>
        <w:t>.  2015; 25:1026-32.</w:t>
      </w:r>
    </w:p>
    <w:p w14:paraId="6098A424" w14:textId="1003B1C3" w:rsidR="00A049CD" w:rsidRPr="002369BD" w:rsidRDefault="008654DD"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4</w:t>
      </w:r>
      <w:r w:rsidR="00603B9E">
        <w:rPr>
          <w:rFonts w:ascii="Arial" w:hAnsi="Arial" w:cs="Arial"/>
          <w:sz w:val="20"/>
          <w:szCs w:val="20"/>
        </w:rPr>
        <w:t>8</w:t>
      </w:r>
      <w:r w:rsidR="00FE6EB7" w:rsidRPr="002369BD">
        <w:rPr>
          <w:rFonts w:ascii="Arial" w:hAnsi="Arial" w:cs="Arial"/>
          <w:sz w:val="20"/>
          <w:szCs w:val="20"/>
        </w:rPr>
        <w:t xml:space="preserve">.  </w:t>
      </w:r>
      <w:r w:rsidR="007078EC" w:rsidRPr="002369BD">
        <w:rPr>
          <w:rFonts w:ascii="Arial" w:hAnsi="Arial" w:cs="Arial"/>
          <w:sz w:val="20"/>
          <w:szCs w:val="20"/>
        </w:rPr>
        <w:t xml:space="preserve">Wong KCW, Ng TY, Yu KS, et al.  The use of post-ablation stimulated thyroglobulin in predicting clinical outcomes in differentiated thyroid carcinoma – what cut-off values should we use?   </w:t>
      </w:r>
      <w:r w:rsidR="007078EC" w:rsidRPr="002369BD">
        <w:rPr>
          <w:rFonts w:ascii="Arial" w:hAnsi="Arial" w:cs="Arial"/>
          <w:i/>
          <w:sz w:val="20"/>
          <w:szCs w:val="20"/>
        </w:rPr>
        <w:t>Clin Oncol</w:t>
      </w:r>
      <w:r w:rsidR="007078EC" w:rsidRPr="002369BD">
        <w:rPr>
          <w:rFonts w:ascii="Arial" w:hAnsi="Arial" w:cs="Arial"/>
          <w:sz w:val="20"/>
          <w:szCs w:val="20"/>
        </w:rPr>
        <w:t>.  2018.  Ahead of print.</w:t>
      </w:r>
    </w:p>
    <w:p w14:paraId="5E6D2DF7" w14:textId="0F6CF8E7" w:rsidR="0081596B" w:rsidRPr="002369BD" w:rsidRDefault="0029751E" w:rsidP="00CF38F9">
      <w:pPr>
        <w:tabs>
          <w:tab w:val="left" w:pos="360"/>
          <w:tab w:val="left" w:pos="630"/>
        </w:tabs>
        <w:spacing w:after="0" w:line="240" w:lineRule="auto"/>
        <w:rPr>
          <w:rFonts w:ascii="Arial" w:hAnsi="Arial" w:cs="Arial"/>
          <w:sz w:val="20"/>
          <w:szCs w:val="20"/>
        </w:rPr>
      </w:pPr>
      <w:r w:rsidRPr="002369BD">
        <w:rPr>
          <w:rFonts w:ascii="Arial" w:hAnsi="Arial" w:cs="Arial"/>
          <w:sz w:val="20"/>
          <w:szCs w:val="20"/>
        </w:rPr>
        <w:t>4</w:t>
      </w:r>
      <w:r w:rsidR="00603B9E">
        <w:rPr>
          <w:rFonts w:ascii="Arial" w:hAnsi="Arial" w:cs="Arial"/>
          <w:sz w:val="20"/>
          <w:szCs w:val="20"/>
        </w:rPr>
        <w:t>9</w:t>
      </w:r>
      <w:r w:rsidR="00B65185" w:rsidRPr="002369BD">
        <w:rPr>
          <w:rFonts w:ascii="Arial" w:hAnsi="Arial" w:cs="Arial"/>
          <w:sz w:val="20"/>
          <w:szCs w:val="20"/>
        </w:rPr>
        <w:t xml:space="preserve">.  </w:t>
      </w:r>
      <w:r w:rsidR="0081596B" w:rsidRPr="002369BD">
        <w:rPr>
          <w:rFonts w:ascii="Arial" w:hAnsi="Arial" w:cs="Arial"/>
          <w:sz w:val="20"/>
          <w:szCs w:val="20"/>
        </w:rPr>
        <w:t xml:space="preserve">Wong KK, Gandhi A, </w:t>
      </w:r>
      <w:proofErr w:type="spellStart"/>
      <w:r w:rsidR="0081596B" w:rsidRPr="002369BD">
        <w:rPr>
          <w:rFonts w:ascii="Arial" w:hAnsi="Arial" w:cs="Arial"/>
          <w:sz w:val="20"/>
          <w:szCs w:val="20"/>
        </w:rPr>
        <w:t>Viglianti</w:t>
      </w:r>
      <w:proofErr w:type="spellEnd"/>
      <w:r w:rsidR="0081596B" w:rsidRPr="002369BD">
        <w:rPr>
          <w:rFonts w:ascii="Arial" w:hAnsi="Arial" w:cs="Arial"/>
          <w:sz w:val="20"/>
          <w:szCs w:val="20"/>
        </w:rPr>
        <w:t xml:space="preserve"> BL, et al.  Endocrine radionuclide scintigraphy with fusion single photon emission computed tomography/computed tomography.  </w:t>
      </w:r>
      <w:r w:rsidR="0081596B" w:rsidRPr="002369BD">
        <w:rPr>
          <w:rFonts w:ascii="Arial" w:hAnsi="Arial" w:cs="Arial"/>
          <w:i/>
          <w:sz w:val="20"/>
          <w:szCs w:val="20"/>
        </w:rPr>
        <w:t xml:space="preserve">World J </w:t>
      </w:r>
      <w:proofErr w:type="spellStart"/>
      <w:r w:rsidR="0081596B" w:rsidRPr="002369BD">
        <w:rPr>
          <w:rFonts w:ascii="Arial" w:hAnsi="Arial" w:cs="Arial"/>
          <w:i/>
          <w:sz w:val="20"/>
          <w:szCs w:val="20"/>
        </w:rPr>
        <w:t>Radiol</w:t>
      </w:r>
      <w:proofErr w:type="spellEnd"/>
      <w:r w:rsidR="0081596B" w:rsidRPr="002369BD">
        <w:rPr>
          <w:rFonts w:ascii="Arial" w:hAnsi="Arial" w:cs="Arial"/>
          <w:sz w:val="20"/>
          <w:szCs w:val="20"/>
        </w:rPr>
        <w:t>.  2016; 8:635-55.</w:t>
      </w:r>
    </w:p>
    <w:p w14:paraId="42101061" w14:textId="225E93C1" w:rsidR="007078EC" w:rsidRPr="002369BD" w:rsidRDefault="00603B9E" w:rsidP="00CF38F9">
      <w:pPr>
        <w:tabs>
          <w:tab w:val="left" w:pos="360"/>
          <w:tab w:val="left" w:pos="630"/>
        </w:tabs>
        <w:spacing w:after="0" w:line="240" w:lineRule="auto"/>
        <w:rPr>
          <w:rFonts w:ascii="Arial" w:hAnsi="Arial" w:cs="Arial"/>
          <w:sz w:val="20"/>
          <w:szCs w:val="20"/>
        </w:rPr>
      </w:pPr>
      <w:r>
        <w:rPr>
          <w:rFonts w:ascii="Arial" w:hAnsi="Arial" w:cs="Arial"/>
          <w:sz w:val="20"/>
          <w:szCs w:val="20"/>
        </w:rPr>
        <w:t>50</w:t>
      </w:r>
      <w:r w:rsidR="00B65185" w:rsidRPr="002369BD">
        <w:rPr>
          <w:rFonts w:ascii="Arial" w:hAnsi="Arial" w:cs="Arial"/>
          <w:sz w:val="20"/>
          <w:szCs w:val="20"/>
        </w:rPr>
        <w:t>.</w:t>
      </w:r>
      <w:r w:rsidR="00FE6EB7" w:rsidRPr="002369BD">
        <w:rPr>
          <w:rFonts w:ascii="Arial" w:hAnsi="Arial" w:cs="Arial"/>
          <w:sz w:val="20"/>
          <w:szCs w:val="20"/>
        </w:rPr>
        <w:t xml:space="preserve">  </w:t>
      </w:r>
      <w:r w:rsidR="007078EC" w:rsidRPr="002369BD">
        <w:rPr>
          <w:rFonts w:ascii="Arial" w:hAnsi="Arial" w:cs="Arial"/>
          <w:sz w:val="20"/>
          <w:szCs w:val="20"/>
        </w:rPr>
        <w:t xml:space="preserve">Yen TC, Lin HD, Lee CH, et al. The role of technetium-99m-sestamibi whole-body scans in diagnosing metastatic </w:t>
      </w:r>
      <w:proofErr w:type="spellStart"/>
      <w:r w:rsidR="007078EC" w:rsidRPr="002369BD">
        <w:rPr>
          <w:rFonts w:ascii="Arial" w:hAnsi="Arial" w:cs="Arial"/>
          <w:sz w:val="20"/>
          <w:szCs w:val="20"/>
        </w:rPr>
        <w:t>Hurthle</w:t>
      </w:r>
      <w:proofErr w:type="spellEnd"/>
      <w:r w:rsidR="007078EC" w:rsidRPr="002369BD">
        <w:rPr>
          <w:rFonts w:ascii="Arial" w:hAnsi="Arial" w:cs="Arial"/>
          <w:sz w:val="20"/>
          <w:szCs w:val="20"/>
        </w:rPr>
        <w:t xml:space="preserve"> cell </w:t>
      </w:r>
      <w:r w:rsidR="00A049CD" w:rsidRPr="002369BD">
        <w:rPr>
          <w:rFonts w:ascii="Arial" w:hAnsi="Arial" w:cs="Arial"/>
          <w:sz w:val="20"/>
          <w:szCs w:val="20"/>
        </w:rPr>
        <w:t>c</w:t>
      </w:r>
      <w:r w:rsidR="007078EC" w:rsidRPr="002369BD">
        <w:rPr>
          <w:rFonts w:ascii="Arial" w:hAnsi="Arial" w:cs="Arial"/>
          <w:sz w:val="20"/>
          <w:szCs w:val="20"/>
        </w:rPr>
        <w:t xml:space="preserve">arcinoma of the thyroid gland after total thyroidectomy: a comparison with iodine-131 and thallium-201 whole-body scans. </w:t>
      </w:r>
      <w:r w:rsidR="007078EC" w:rsidRPr="002369BD">
        <w:rPr>
          <w:rFonts w:ascii="Arial" w:hAnsi="Arial" w:cs="Arial"/>
          <w:i/>
          <w:sz w:val="20"/>
          <w:szCs w:val="20"/>
        </w:rPr>
        <w:t xml:space="preserve">Eur J </w:t>
      </w:r>
      <w:proofErr w:type="spellStart"/>
      <w:r w:rsidR="007078EC" w:rsidRPr="002369BD">
        <w:rPr>
          <w:rFonts w:ascii="Arial" w:hAnsi="Arial" w:cs="Arial"/>
          <w:i/>
          <w:sz w:val="20"/>
          <w:szCs w:val="20"/>
        </w:rPr>
        <w:t>Nucl</w:t>
      </w:r>
      <w:proofErr w:type="spellEnd"/>
      <w:r w:rsidR="007078EC" w:rsidRPr="002369BD">
        <w:rPr>
          <w:rFonts w:ascii="Arial" w:hAnsi="Arial" w:cs="Arial"/>
          <w:i/>
          <w:sz w:val="20"/>
          <w:szCs w:val="20"/>
        </w:rPr>
        <w:t xml:space="preserve"> Med</w:t>
      </w:r>
      <w:r w:rsidR="0029751E" w:rsidRPr="002369BD">
        <w:rPr>
          <w:rFonts w:ascii="Arial" w:hAnsi="Arial" w:cs="Arial"/>
          <w:i/>
          <w:sz w:val="20"/>
          <w:szCs w:val="20"/>
        </w:rPr>
        <w:t>.</w:t>
      </w:r>
      <w:r w:rsidR="007078EC" w:rsidRPr="002369BD">
        <w:rPr>
          <w:rFonts w:ascii="Arial" w:hAnsi="Arial" w:cs="Arial"/>
          <w:sz w:val="20"/>
          <w:szCs w:val="20"/>
        </w:rPr>
        <w:t xml:space="preserve"> 1994;</w:t>
      </w:r>
      <w:r w:rsidR="0029751E" w:rsidRPr="002369BD">
        <w:rPr>
          <w:rFonts w:ascii="Arial" w:hAnsi="Arial" w:cs="Arial"/>
          <w:sz w:val="20"/>
          <w:szCs w:val="20"/>
        </w:rPr>
        <w:t xml:space="preserve"> </w:t>
      </w:r>
      <w:r w:rsidR="007078EC" w:rsidRPr="002369BD">
        <w:rPr>
          <w:rFonts w:ascii="Arial" w:hAnsi="Arial" w:cs="Arial"/>
          <w:sz w:val="20"/>
          <w:szCs w:val="20"/>
        </w:rPr>
        <w:t xml:space="preserve">21:980-3. </w:t>
      </w:r>
    </w:p>
    <w:p w14:paraId="6AC9C3FD" w14:textId="59E95161" w:rsidR="002713EF" w:rsidRPr="002369BD" w:rsidRDefault="00603B9E" w:rsidP="00CF38F9">
      <w:pPr>
        <w:tabs>
          <w:tab w:val="left" w:pos="360"/>
          <w:tab w:val="left" w:pos="630"/>
        </w:tabs>
        <w:spacing w:after="0" w:line="240" w:lineRule="auto"/>
        <w:rPr>
          <w:rFonts w:ascii="Arial" w:hAnsi="Arial" w:cs="Arial"/>
          <w:sz w:val="20"/>
          <w:szCs w:val="20"/>
        </w:rPr>
      </w:pPr>
      <w:r>
        <w:rPr>
          <w:rFonts w:ascii="Arial" w:hAnsi="Arial" w:cs="Arial"/>
          <w:sz w:val="20"/>
          <w:szCs w:val="20"/>
        </w:rPr>
        <w:t>51</w:t>
      </w:r>
      <w:r w:rsidR="00FE6EB7" w:rsidRPr="002369BD">
        <w:rPr>
          <w:rFonts w:ascii="Arial" w:hAnsi="Arial" w:cs="Arial"/>
          <w:sz w:val="20"/>
          <w:szCs w:val="20"/>
        </w:rPr>
        <w:t xml:space="preserve">. </w:t>
      </w:r>
      <w:proofErr w:type="spellStart"/>
      <w:r w:rsidR="0007386F" w:rsidRPr="002369BD">
        <w:rPr>
          <w:rFonts w:ascii="Arial" w:hAnsi="Arial" w:cs="Arial"/>
          <w:sz w:val="20"/>
          <w:szCs w:val="20"/>
        </w:rPr>
        <w:t>Ziessman</w:t>
      </w:r>
      <w:proofErr w:type="spellEnd"/>
      <w:r w:rsidR="0007386F" w:rsidRPr="002369BD">
        <w:rPr>
          <w:rFonts w:ascii="Arial" w:hAnsi="Arial" w:cs="Arial"/>
          <w:sz w:val="20"/>
          <w:szCs w:val="20"/>
        </w:rPr>
        <w:t xml:space="preserve"> HA, O’Malley JP, Thrall JH.  </w:t>
      </w:r>
      <w:r w:rsidR="0007386F" w:rsidRPr="002369BD">
        <w:rPr>
          <w:rFonts w:ascii="Arial" w:hAnsi="Arial" w:cs="Arial"/>
          <w:sz w:val="20"/>
          <w:szCs w:val="20"/>
          <w:u w:val="single"/>
        </w:rPr>
        <w:t>Nuclear Medicine: The Requisites</w:t>
      </w:r>
      <w:r w:rsidR="0007386F" w:rsidRPr="002369BD">
        <w:rPr>
          <w:rFonts w:ascii="Arial" w:hAnsi="Arial" w:cs="Arial"/>
          <w:sz w:val="20"/>
          <w:szCs w:val="20"/>
        </w:rPr>
        <w:t>.  2013.  Elsevier Health Sciences.</w:t>
      </w:r>
    </w:p>
    <w:p w14:paraId="6A375CA8" w14:textId="4D3C5ABB" w:rsidR="006B3780" w:rsidRPr="002369BD" w:rsidRDefault="001E2957" w:rsidP="00CF38F9">
      <w:pPr>
        <w:tabs>
          <w:tab w:val="left" w:pos="360"/>
          <w:tab w:val="left" w:pos="630"/>
        </w:tabs>
        <w:spacing w:after="0" w:line="240" w:lineRule="auto"/>
        <w:rPr>
          <w:rFonts w:ascii="Arial" w:hAnsi="Arial" w:cs="Arial"/>
          <w:i/>
          <w:sz w:val="20"/>
          <w:szCs w:val="20"/>
        </w:rPr>
      </w:pPr>
      <w:r>
        <w:rPr>
          <w:rFonts w:ascii="Arial" w:hAnsi="Arial" w:cs="Arial"/>
          <w:sz w:val="20"/>
          <w:szCs w:val="20"/>
        </w:rPr>
        <w:t>5</w:t>
      </w:r>
      <w:r w:rsidR="00603B9E">
        <w:rPr>
          <w:rFonts w:ascii="Arial" w:hAnsi="Arial" w:cs="Arial"/>
          <w:sz w:val="20"/>
          <w:szCs w:val="20"/>
        </w:rPr>
        <w:t>2</w:t>
      </w:r>
      <w:r w:rsidR="00B65185" w:rsidRPr="002369BD">
        <w:rPr>
          <w:rFonts w:ascii="Arial" w:hAnsi="Arial" w:cs="Arial"/>
          <w:sz w:val="20"/>
          <w:szCs w:val="20"/>
        </w:rPr>
        <w:t xml:space="preserve">.  </w:t>
      </w:r>
      <w:proofErr w:type="spellStart"/>
      <w:r w:rsidR="006B3780" w:rsidRPr="002369BD">
        <w:rPr>
          <w:rFonts w:ascii="Arial" w:hAnsi="Arial" w:cs="Arial"/>
          <w:sz w:val="20"/>
          <w:szCs w:val="20"/>
        </w:rPr>
        <w:t>Zilioli</w:t>
      </w:r>
      <w:proofErr w:type="spellEnd"/>
      <w:r w:rsidR="006B3780" w:rsidRPr="002369BD">
        <w:rPr>
          <w:rFonts w:ascii="Arial" w:hAnsi="Arial" w:cs="Arial"/>
          <w:sz w:val="20"/>
          <w:szCs w:val="20"/>
        </w:rPr>
        <w:t xml:space="preserve"> V, </w:t>
      </w:r>
      <w:proofErr w:type="spellStart"/>
      <w:r w:rsidR="006B3780" w:rsidRPr="002369BD">
        <w:rPr>
          <w:rFonts w:ascii="Arial" w:hAnsi="Arial" w:cs="Arial"/>
          <w:sz w:val="20"/>
          <w:szCs w:val="20"/>
        </w:rPr>
        <w:t>Peli</w:t>
      </w:r>
      <w:proofErr w:type="spellEnd"/>
      <w:r w:rsidR="006B3780" w:rsidRPr="002369BD">
        <w:rPr>
          <w:rFonts w:ascii="Arial" w:hAnsi="Arial" w:cs="Arial"/>
          <w:sz w:val="20"/>
          <w:szCs w:val="20"/>
        </w:rPr>
        <w:t xml:space="preserve"> A, </w:t>
      </w:r>
      <w:proofErr w:type="spellStart"/>
      <w:r w:rsidR="006B3780" w:rsidRPr="002369BD">
        <w:rPr>
          <w:rFonts w:ascii="Arial" w:hAnsi="Arial" w:cs="Arial"/>
          <w:sz w:val="20"/>
          <w:szCs w:val="20"/>
        </w:rPr>
        <w:t>Panaro</w:t>
      </w:r>
      <w:r w:rsidR="00EF4867" w:rsidRPr="002369BD">
        <w:rPr>
          <w:rFonts w:ascii="Arial" w:hAnsi="Arial" w:cs="Arial"/>
          <w:sz w:val="20"/>
          <w:szCs w:val="20"/>
        </w:rPr>
        <w:t>tto</w:t>
      </w:r>
      <w:proofErr w:type="spellEnd"/>
      <w:r w:rsidR="00EF4867" w:rsidRPr="002369BD">
        <w:rPr>
          <w:rFonts w:ascii="Arial" w:hAnsi="Arial" w:cs="Arial"/>
          <w:sz w:val="20"/>
          <w:szCs w:val="20"/>
        </w:rPr>
        <w:t xml:space="preserve"> MB, et al.  Differentiated thyroid carcinoma: incremental diagnostic value of 131I SPECT/CT over planar whole</w:t>
      </w:r>
      <w:r w:rsidR="00F62995" w:rsidRPr="002369BD">
        <w:rPr>
          <w:rFonts w:ascii="Arial" w:hAnsi="Arial" w:cs="Arial"/>
          <w:sz w:val="20"/>
          <w:szCs w:val="20"/>
        </w:rPr>
        <w:t>-</w:t>
      </w:r>
      <w:r w:rsidR="00EF4867" w:rsidRPr="002369BD">
        <w:rPr>
          <w:rFonts w:ascii="Arial" w:hAnsi="Arial" w:cs="Arial"/>
          <w:sz w:val="20"/>
          <w:szCs w:val="20"/>
        </w:rPr>
        <w:t xml:space="preserve">body scan after radioiodine therapy.  </w:t>
      </w:r>
      <w:r w:rsidR="00EF4867" w:rsidRPr="002369BD">
        <w:rPr>
          <w:rFonts w:ascii="Arial" w:hAnsi="Arial" w:cs="Arial"/>
          <w:i/>
          <w:sz w:val="20"/>
          <w:szCs w:val="20"/>
        </w:rPr>
        <w:t>Endocrine.  2017; 56:551-9.</w:t>
      </w:r>
    </w:p>
    <w:p w14:paraId="5A6CBD85" w14:textId="18AF6CF6" w:rsidR="007D7F0F" w:rsidRPr="002369BD" w:rsidRDefault="007D7F0F" w:rsidP="009028D3">
      <w:pPr>
        <w:tabs>
          <w:tab w:val="left" w:pos="360"/>
          <w:tab w:val="left" w:pos="630"/>
        </w:tabs>
        <w:spacing w:after="0" w:line="360" w:lineRule="auto"/>
        <w:jc w:val="both"/>
        <w:rPr>
          <w:rFonts w:ascii="Arial" w:hAnsi="Arial" w:cs="Arial"/>
          <w:sz w:val="24"/>
          <w:szCs w:val="24"/>
        </w:rPr>
      </w:pPr>
    </w:p>
    <w:p w14:paraId="1CF3E473" w14:textId="2265095A" w:rsidR="007D7F0F" w:rsidRPr="002369BD" w:rsidRDefault="007D7F0F" w:rsidP="009028D3">
      <w:pPr>
        <w:tabs>
          <w:tab w:val="left" w:pos="360"/>
          <w:tab w:val="left" w:pos="630"/>
        </w:tabs>
        <w:spacing w:after="0" w:line="360" w:lineRule="auto"/>
        <w:jc w:val="both"/>
        <w:rPr>
          <w:rFonts w:ascii="Arial" w:hAnsi="Arial" w:cs="Arial"/>
          <w:b/>
          <w:sz w:val="24"/>
          <w:szCs w:val="24"/>
        </w:rPr>
      </w:pPr>
      <w:r w:rsidRPr="002369BD">
        <w:rPr>
          <w:rFonts w:ascii="Arial" w:hAnsi="Arial" w:cs="Arial"/>
          <w:b/>
          <w:sz w:val="24"/>
          <w:szCs w:val="24"/>
        </w:rPr>
        <w:t>XII.  APPROVAL</w:t>
      </w:r>
    </w:p>
    <w:p w14:paraId="5F906A5D" w14:textId="4A30511F" w:rsidR="007D7F0F" w:rsidRPr="002369BD" w:rsidRDefault="000B46C5"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ab/>
      </w:r>
      <w:r w:rsidR="007D7F0F" w:rsidRPr="002369BD">
        <w:rPr>
          <w:rFonts w:ascii="Arial" w:hAnsi="Arial" w:cs="Arial"/>
          <w:sz w:val="24"/>
          <w:szCs w:val="24"/>
        </w:rPr>
        <w:t xml:space="preserve">The Board of Directors of the SNMMI approved version _____ at the SNMMI Annual Meeting in June ______. </w:t>
      </w:r>
    </w:p>
    <w:p w14:paraId="410DC6A8" w14:textId="2567DD26" w:rsidR="00945B1B" w:rsidRDefault="00395ECA" w:rsidP="009028D3">
      <w:pPr>
        <w:tabs>
          <w:tab w:val="left" w:pos="360"/>
          <w:tab w:val="left" w:pos="630"/>
        </w:tabs>
        <w:spacing w:after="0" w:line="360" w:lineRule="auto"/>
        <w:jc w:val="both"/>
        <w:rPr>
          <w:rFonts w:ascii="Arial" w:hAnsi="Arial" w:cs="Arial"/>
          <w:sz w:val="24"/>
          <w:szCs w:val="24"/>
        </w:rPr>
      </w:pPr>
      <w:r w:rsidRPr="002369BD">
        <w:rPr>
          <w:rFonts w:ascii="Arial" w:hAnsi="Arial" w:cs="Arial"/>
          <w:sz w:val="24"/>
          <w:szCs w:val="24"/>
        </w:rPr>
        <w:t xml:space="preserve"> </w:t>
      </w:r>
    </w:p>
    <w:tbl>
      <w:tblPr>
        <w:tblpPr w:leftFromText="180" w:rightFromText="180" w:vertAnchor="text" w:horzAnchor="margin" w:tblpY="-28"/>
        <w:tblW w:w="7460" w:type="dxa"/>
        <w:tblLook w:val="04A0" w:firstRow="1" w:lastRow="0" w:firstColumn="1" w:lastColumn="0" w:noHBand="0" w:noVBand="1"/>
      </w:tblPr>
      <w:tblGrid>
        <w:gridCol w:w="4730"/>
        <w:gridCol w:w="2730"/>
      </w:tblGrid>
      <w:tr w:rsidR="007A155B" w:rsidRPr="00EF6C86" w14:paraId="4C1866C7" w14:textId="77777777" w:rsidTr="007A155B">
        <w:trPr>
          <w:trHeight w:val="288"/>
        </w:trPr>
        <w:tc>
          <w:tcPr>
            <w:tcW w:w="74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E591F73" w14:textId="77777777" w:rsidR="007A155B" w:rsidRPr="00EF6C86" w:rsidRDefault="007A155B" w:rsidP="007A155B">
            <w:pPr>
              <w:spacing w:after="0" w:line="240" w:lineRule="auto"/>
              <w:rPr>
                <w:rFonts w:ascii="Calibri" w:eastAsia="Times New Roman" w:hAnsi="Calibri" w:cs="Calibri"/>
                <w:b/>
                <w:bCs/>
                <w:color w:val="000000"/>
              </w:rPr>
            </w:pPr>
            <w:r w:rsidRPr="00EF6C86">
              <w:rPr>
                <w:rFonts w:ascii="Calibri" w:eastAsia="Times New Roman" w:hAnsi="Calibri" w:cs="Calibri"/>
                <w:b/>
                <w:bCs/>
                <w:color w:val="000000"/>
              </w:rPr>
              <w:lastRenderedPageBreak/>
              <w:t xml:space="preserve">TABLE 1: Representative Drugs/Supplements That Interfere </w:t>
            </w:r>
            <w:proofErr w:type="gramStart"/>
            <w:r w:rsidRPr="00EF6C86">
              <w:rPr>
                <w:rFonts w:ascii="Calibri" w:eastAsia="Times New Roman" w:hAnsi="Calibri" w:cs="Calibri"/>
                <w:b/>
                <w:bCs/>
                <w:color w:val="000000"/>
              </w:rPr>
              <w:t>With</w:t>
            </w:r>
            <w:proofErr w:type="gramEnd"/>
            <w:r w:rsidRPr="00EF6C86">
              <w:rPr>
                <w:rFonts w:ascii="Calibri" w:eastAsia="Times New Roman" w:hAnsi="Calibri" w:cs="Calibri"/>
                <w:b/>
                <w:bCs/>
                <w:color w:val="000000"/>
              </w:rPr>
              <w:t xml:space="preserve"> Radioiodine</w:t>
            </w:r>
          </w:p>
        </w:tc>
      </w:tr>
      <w:tr w:rsidR="007A155B" w:rsidRPr="00EF6C86" w14:paraId="2C3CF444" w14:textId="77777777" w:rsidTr="007A155B">
        <w:trPr>
          <w:trHeight w:val="288"/>
        </w:trPr>
        <w:tc>
          <w:tcPr>
            <w:tcW w:w="7460" w:type="dxa"/>
            <w:gridSpan w:val="2"/>
            <w:tcBorders>
              <w:top w:val="nil"/>
              <w:left w:val="single" w:sz="8" w:space="0" w:color="auto"/>
              <w:bottom w:val="nil"/>
              <w:right w:val="single" w:sz="8" w:space="0" w:color="000000"/>
            </w:tcBorders>
            <w:shd w:val="clear" w:color="auto" w:fill="auto"/>
            <w:noWrap/>
            <w:vAlign w:val="bottom"/>
            <w:hideMark/>
          </w:tcPr>
          <w:p w14:paraId="5F2BBEA0"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 xml:space="preserve">                                                   (in alphabetical order)</w:t>
            </w:r>
          </w:p>
        </w:tc>
      </w:tr>
      <w:tr w:rsidR="007A155B" w:rsidRPr="00EF6C86" w14:paraId="7DDD6C98" w14:textId="77777777" w:rsidTr="007A155B">
        <w:trPr>
          <w:trHeight w:val="288"/>
        </w:trPr>
        <w:tc>
          <w:tcPr>
            <w:tcW w:w="4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9D02" w14:textId="77777777" w:rsidR="007A155B" w:rsidRPr="00EF6C86" w:rsidRDefault="007A155B" w:rsidP="007A155B">
            <w:pPr>
              <w:spacing w:after="0" w:line="240" w:lineRule="auto"/>
              <w:jc w:val="center"/>
              <w:rPr>
                <w:rFonts w:ascii="Calibri" w:eastAsia="Times New Roman" w:hAnsi="Calibri" w:cs="Calibri"/>
                <w:i/>
                <w:iCs/>
                <w:color w:val="000000"/>
              </w:rPr>
            </w:pPr>
            <w:r w:rsidRPr="00EF6C86">
              <w:rPr>
                <w:rFonts w:ascii="Calibri" w:eastAsia="Times New Roman" w:hAnsi="Calibri" w:cs="Calibri"/>
                <w:i/>
                <w:iCs/>
                <w:color w:val="000000"/>
              </w:rPr>
              <w:t>Name</w:t>
            </w:r>
          </w:p>
        </w:tc>
        <w:tc>
          <w:tcPr>
            <w:tcW w:w="2730" w:type="dxa"/>
            <w:tcBorders>
              <w:top w:val="single" w:sz="4" w:space="0" w:color="auto"/>
              <w:left w:val="nil"/>
              <w:bottom w:val="single" w:sz="4" w:space="0" w:color="auto"/>
              <w:right w:val="single" w:sz="4" w:space="0" w:color="auto"/>
            </w:tcBorders>
            <w:shd w:val="clear" w:color="auto" w:fill="auto"/>
            <w:noWrap/>
            <w:vAlign w:val="bottom"/>
            <w:hideMark/>
          </w:tcPr>
          <w:p w14:paraId="235B3A6F" w14:textId="77777777" w:rsidR="007A155B" w:rsidRPr="00EF6C86" w:rsidRDefault="007A155B" w:rsidP="007A155B">
            <w:pPr>
              <w:spacing w:after="0" w:line="240" w:lineRule="auto"/>
              <w:jc w:val="center"/>
              <w:rPr>
                <w:rFonts w:ascii="Calibri" w:eastAsia="Times New Roman" w:hAnsi="Calibri" w:cs="Calibri"/>
                <w:i/>
                <w:iCs/>
                <w:color w:val="000000"/>
              </w:rPr>
            </w:pPr>
            <w:r w:rsidRPr="00EF6C86">
              <w:rPr>
                <w:rFonts w:ascii="Calibri" w:eastAsia="Times New Roman" w:hAnsi="Calibri" w:cs="Calibri"/>
                <w:i/>
                <w:iCs/>
                <w:color w:val="000000"/>
              </w:rPr>
              <w:t>Withdrawal Time</w:t>
            </w:r>
          </w:p>
        </w:tc>
      </w:tr>
      <w:tr w:rsidR="007A155B" w:rsidRPr="00EF6C86" w14:paraId="41A93753"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329BECDE"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Amiodarone</w:t>
            </w:r>
          </w:p>
        </w:tc>
        <w:tc>
          <w:tcPr>
            <w:tcW w:w="2730" w:type="dxa"/>
            <w:tcBorders>
              <w:top w:val="nil"/>
              <w:left w:val="nil"/>
              <w:bottom w:val="single" w:sz="4" w:space="0" w:color="auto"/>
              <w:right w:val="single" w:sz="4" w:space="0" w:color="auto"/>
            </w:tcBorders>
            <w:shd w:val="clear" w:color="auto" w:fill="auto"/>
            <w:noWrap/>
            <w:vAlign w:val="bottom"/>
            <w:hideMark/>
          </w:tcPr>
          <w:p w14:paraId="22DADEFC"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3-6 months</w:t>
            </w:r>
          </w:p>
        </w:tc>
      </w:tr>
      <w:tr w:rsidR="007A155B" w:rsidRPr="00EF6C86" w14:paraId="76BB73E3"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13BC3376"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Antitussives</w:t>
            </w:r>
          </w:p>
        </w:tc>
        <w:tc>
          <w:tcPr>
            <w:tcW w:w="2730" w:type="dxa"/>
            <w:tcBorders>
              <w:top w:val="nil"/>
              <w:left w:val="nil"/>
              <w:bottom w:val="single" w:sz="4" w:space="0" w:color="auto"/>
              <w:right w:val="single" w:sz="4" w:space="0" w:color="auto"/>
            </w:tcBorders>
            <w:shd w:val="clear" w:color="auto" w:fill="auto"/>
            <w:noWrap/>
            <w:vAlign w:val="bottom"/>
            <w:hideMark/>
          </w:tcPr>
          <w:p w14:paraId="360EF435"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2-4 weeks</w:t>
            </w:r>
          </w:p>
        </w:tc>
      </w:tr>
      <w:tr w:rsidR="007A155B" w:rsidRPr="00EF6C86" w14:paraId="1A82F3CA"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1059B51E"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Bromides</w:t>
            </w:r>
          </w:p>
        </w:tc>
        <w:tc>
          <w:tcPr>
            <w:tcW w:w="2730" w:type="dxa"/>
            <w:tcBorders>
              <w:top w:val="nil"/>
              <w:left w:val="nil"/>
              <w:bottom w:val="single" w:sz="4" w:space="0" w:color="auto"/>
              <w:right w:val="single" w:sz="4" w:space="0" w:color="auto"/>
            </w:tcBorders>
            <w:shd w:val="clear" w:color="auto" w:fill="auto"/>
            <w:noWrap/>
            <w:vAlign w:val="bottom"/>
            <w:hideMark/>
          </w:tcPr>
          <w:p w14:paraId="5C85F7DE"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1 week</w:t>
            </w:r>
          </w:p>
        </w:tc>
      </w:tr>
      <w:tr w:rsidR="007A155B" w:rsidRPr="00EF6C86" w14:paraId="384E1A37"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2CCF54B1"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Iodinates Ointments</w:t>
            </w:r>
          </w:p>
        </w:tc>
        <w:tc>
          <w:tcPr>
            <w:tcW w:w="2730" w:type="dxa"/>
            <w:tcBorders>
              <w:top w:val="nil"/>
              <w:left w:val="nil"/>
              <w:bottom w:val="single" w:sz="4" w:space="0" w:color="auto"/>
              <w:right w:val="single" w:sz="4" w:space="0" w:color="auto"/>
            </w:tcBorders>
            <w:shd w:val="clear" w:color="auto" w:fill="auto"/>
            <w:noWrap/>
            <w:vAlign w:val="bottom"/>
            <w:hideMark/>
          </w:tcPr>
          <w:p w14:paraId="28F0C8A5"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2-4 weeks</w:t>
            </w:r>
          </w:p>
        </w:tc>
      </w:tr>
      <w:tr w:rsidR="007A155B" w:rsidRPr="00EF6C86" w14:paraId="6EB44BAA"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27507345"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Levothyroxine (T4)</w:t>
            </w:r>
          </w:p>
        </w:tc>
        <w:tc>
          <w:tcPr>
            <w:tcW w:w="2730" w:type="dxa"/>
            <w:tcBorders>
              <w:top w:val="nil"/>
              <w:left w:val="nil"/>
              <w:bottom w:val="single" w:sz="4" w:space="0" w:color="auto"/>
              <w:right w:val="single" w:sz="4" w:space="0" w:color="auto"/>
            </w:tcBorders>
            <w:shd w:val="clear" w:color="auto" w:fill="auto"/>
            <w:noWrap/>
            <w:vAlign w:val="bottom"/>
            <w:hideMark/>
          </w:tcPr>
          <w:p w14:paraId="5462D5E3"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4-6 weeks</w:t>
            </w:r>
          </w:p>
        </w:tc>
      </w:tr>
      <w:tr w:rsidR="007A155B" w:rsidRPr="00EF6C86" w14:paraId="46A3F973"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15C7AFAC" w14:textId="77777777" w:rsidR="007A155B" w:rsidRPr="00EF6C86" w:rsidRDefault="007A155B" w:rsidP="007A155B">
            <w:pPr>
              <w:spacing w:after="0" w:line="240" w:lineRule="auto"/>
              <w:rPr>
                <w:rFonts w:ascii="Calibri" w:eastAsia="Times New Roman" w:hAnsi="Calibri" w:cs="Calibri"/>
                <w:color w:val="000000"/>
              </w:rPr>
            </w:pPr>
            <w:proofErr w:type="spellStart"/>
            <w:r w:rsidRPr="00EF6C86">
              <w:rPr>
                <w:rFonts w:ascii="Calibri" w:eastAsia="Times New Roman" w:hAnsi="Calibri" w:cs="Calibri"/>
                <w:color w:val="000000"/>
              </w:rPr>
              <w:t>Lugol's</w:t>
            </w:r>
            <w:proofErr w:type="spellEnd"/>
            <w:r w:rsidRPr="00EF6C86">
              <w:rPr>
                <w:rFonts w:ascii="Calibri" w:eastAsia="Times New Roman" w:hAnsi="Calibri" w:cs="Calibri"/>
                <w:color w:val="000000"/>
              </w:rPr>
              <w:t xml:space="preserve"> Solution</w:t>
            </w:r>
          </w:p>
        </w:tc>
        <w:tc>
          <w:tcPr>
            <w:tcW w:w="2730" w:type="dxa"/>
            <w:tcBorders>
              <w:top w:val="nil"/>
              <w:left w:val="nil"/>
              <w:bottom w:val="single" w:sz="4" w:space="0" w:color="auto"/>
              <w:right w:val="single" w:sz="4" w:space="0" w:color="auto"/>
            </w:tcBorders>
            <w:shd w:val="clear" w:color="auto" w:fill="auto"/>
            <w:noWrap/>
            <w:vAlign w:val="bottom"/>
            <w:hideMark/>
          </w:tcPr>
          <w:p w14:paraId="28AB1727"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2-3 weeks</w:t>
            </w:r>
          </w:p>
        </w:tc>
      </w:tr>
      <w:tr w:rsidR="007A155B" w:rsidRPr="00EF6C86" w14:paraId="556347B7"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1BA59928"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Mineral/Vitamin Supplements</w:t>
            </w:r>
          </w:p>
        </w:tc>
        <w:tc>
          <w:tcPr>
            <w:tcW w:w="2730" w:type="dxa"/>
            <w:tcBorders>
              <w:top w:val="nil"/>
              <w:left w:val="nil"/>
              <w:bottom w:val="single" w:sz="4" w:space="0" w:color="auto"/>
              <w:right w:val="single" w:sz="4" w:space="0" w:color="auto"/>
            </w:tcBorders>
            <w:shd w:val="clear" w:color="auto" w:fill="auto"/>
            <w:noWrap/>
            <w:vAlign w:val="bottom"/>
            <w:hideMark/>
          </w:tcPr>
          <w:p w14:paraId="3AF147FB"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2-4 weeks</w:t>
            </w:r>
          </w:p>
        </w:tc>
      </w:tr>
      <w:tr w:rsidR="007A155B" w:rsidRPr="00EF6C86" w14:paraId="3A4C0521"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5CC32805"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Nitrates</w:t>
            </w:r>
          </w:p>
        </w:tc>
        <w:tc>
          <w:tcPr>
            <w:tcW w:w="2730" w:type="dxa"/>
            <w:tcBorders>
              <w:top w:val="nil"/>
              <w:left w:val="nil"/>
              <w:bottom w:val="single" w:sz="4" w:space="0" w:color="auto"/>
              <w:right w:val="single" w:sz="4" w:space="0" w:color="auto"/>
            </w:tcBorders>
            <w:shd w:val="clear" w:color="auto" w:fill="auto"/>
            <w:noWrap/>
            <w:vAlign w:val="bottom"/>
            <w:hideMark/>
          </w:tcPr>
          <w:p w14:paraId="45E34146"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1 week</w:t>
            </w:r>
          </w:p>
        </w:tc>
      </w:tr>
      <w:tr w:rsidR="007A155B" w:rsidRPr="00EF6C86" w14:paraId="47706692"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116D8FA5"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Perchlorate</w:t>
            </w:r>
          </w:p>
        </w:tc>
        <w:tc>
          <w:tcPr>
            <w:tcW w:w="2730" w:type="dxa"/>
            <w:tcBorders>
              <w:top w:val="nil"/>
              <w:left w:val="nil"/>
              <w:bottom w:val="single" w:sz="4" w:space="0" w:color="auto"/>
              <w:right w:val="single" w:sz="4" w:space="0" w:color="auto"/>
            </w:tcBorders>
            <w:shd w:val="clear" w:color="auto" w:fill="auto"/>
            <w:noWrap/>
            <w:vAlign w:val="bottom"/>
            <w:hideMark/>
          </w:tcPr>
          <w:p w14:paraId="332C5973"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1 week</w:t>
            </w:r>
          </w:p>
        </w:tc>
      </w:tr>
      <w:tr w:rsidR="007A155B" w:rsidRPr="00EF6C86" w14:paraId="24CBD5BD"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3E1BC80E"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Potassium Iodide</w:t>
            </w:r>
          </w:p>
        </w:tc>
        <w:tc>
          <w:tcPr>
            <w:tcW w:w="2730" w:type="dxa"/>
            <w:tcBorders>
              <w:top w:val="nil"/>
              <w:left w:val="nil"/>
              <w:bottom w:val="single" w:sz="4" w:space="0" w:color="auto"/>
              <w:right w:val="single" w:sz="4" w:space="0" w:color="auto"/>
            </w:tcBorders>
            <w:shd w:val="clear" w:color="auto" w:fill="auto"/>
            <w:noWrap/>
            <w:vAlign w:val="bottom"/>
            <w:hideMark/>
          </w:tcPr>
          <w:p w14:paraId="4AD692D5"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2-3 weeks</w:t>
            </w:r>
          </w:p>
        </w:tc>
      </w:tr>
      <w:tr w:rsidR="007A155B" w:rsidRPr="00EF6C86" w14:paraId="52234955"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3AD37DC4"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Salicylates (large doses)</w:t>
            </w:r>
          </w:p>
        </w:tc>
        <w:tc>
          <w:tcPr>
            <w:tcW w:w="2730" w:type="dxa"/>
            <w:tcBorders>
              <w:top w:val="nil"/>
              <w:left w:val="nil"/>
              <w:bottom w:val="single" w:sz="4" w:space="0" w:color="auto"/>
              <w:right w:val="single" w:sz="4" w:space="0" w:color="auto"/>
            </w:tcBorders>
            <w:shd w:val="clear" w:color="auto" w:fill="auto"/>
            <w:noWrap/>
            <w:vAlign w:val="bottom"/>
            <w:hideMark/>
          </w:tcPr>
          <w:p w14:paraId="5E8C9454"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1 week</w:t>
            </w:r>
          </w:p>
        </w:tc>
      </w:tr>
      <w:tr w:rsidR="007A155B" w:rsidRPr="00EF6C86" w14:paraId="783D1226"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2EC13485"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Steroids</w:t>
            </w:r>
          </w:p>
        </w:tc>
        <w:tc>
          <w:tcPr>
            <w:tcW w:w="2730" w:type="dxa"/>
            <w:tcBorders>
              <w:top w:val="nil"/>
              <w:left w:val="nil"/>
              <w:bottom w:val="single" w:sz="4" w:space="0" w:color="auto"/>
              <w:right w:val="single" w:sz="4" w:space="0" w:color="auto"/>
            </w:tcBorders>
            <w:shd w:val="clear" w:color="auto" w:fill="auto"/>
            <w:noWrap/>
            <w:vAlign w:val="bottom"/>
            <w:hideMark/>
          </w:tcPr>
          <w:p w14:paraId="4508A8B5"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Variable</w:t>
            </w:r>
          </w:p>
        </w:tc>
      </w:tr>
      <w:tr w:rsidR="007A155B" w:rsidRPr="00EF6C86" w14:paraId="21C92041"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59EE394F"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Sulfonamides</w:t>
            </w:r>
          </w:p>
        </w:tc>
        <w:tc>
          <w:tcPr>
            <w:tcW w:w="2730" w:type="dxa"/>
            <w:tcBorders>
              <w:top w:val="nil"/>
              <w:left w:val="nil"/>
              <w:bottom w:val="single" w:sz="4" w:space="0" w:color="auto"/>
              <w:right w:val="single" w:sz="4" w:space="0" w:color="auto"/>
            </w:tcBorders>
            <w:shd w:val="clear" w:color="auto" w:fill="auto"/>
            <w:noWrap/>
            <w:vAlign w:val="bottom"/>
            <w:hideMark/>
          </w:tcPr>
          <w:p w14:paraId="23196F22"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1 week</w:t>
            </w:r>
          </w:p>
        </w:tc>
      </w:tr>
      <w:tr w:rsidR="007A155B" w:rsidRPr="00EF6C86" w14:paraId="36966998" w14:textId="77777777" w:rsidTr="007A155B">
        <w:trPr>
          <w:trHeight w:val="288"/>
        </w:trPr>
        <w:tc>
          <w:tcPr>
            <w:tcW w:w="4730" w:type="dxa"/>
            <w:tcBorders>
              <w:top w:val="nil"/>
              <w:left w:val="single" w:sz="4" w:space="0" w:color="auto"/>
              <w:bottom w:val="single" w:sz="4" w:space="0" w:color="auto"/>
              <w:right w:val="single" w:sz="4" w:space="0" w:color="auto"/>
            </w:tcBorders>
            <w:shd w:val="clear" w:color="auto" w:fill="auto"/>
            <w:noWrap/>
            <w:vAlign w:val="bottom"/>
            <w:hideMark/>
          </w:tcPr>
          <w:p w14:paraId="3BE71A3B" w14:textId="77777777" w:rsidR="007A155B" w:rsidRPr="00EF6C86" w:rsidRDefault="007A155B" w:rsidP="007A155B">
            <w:pPr>
              <w:spacing w:after="0" w:line="240" w:lineRule="auto"/>
              <w:rPr>
                <w:rFonts w:ascii="Calibri" w:eastAsia="Times New Roman" w:hAnsi="Calibri" w:cs="Calibri"/>
                <w:color w:val="000000"/>
              </w:rPr>
            </w:pPr>
            <w:r w:rsidRPr="00EF6C86">
              <w:rPr>
                <w:rFonts w:ascii="Calibri" w:eastAsia="Times New Roman" w:hAnsi="Calibri" w:cs="Calibri"/>
                <w:color w:val="000000"/>
              </w:rPr>
              <w:t>Triiodothyronine (T3)</w:t>
            </w:r>
          </w:p>
        </w:tc>
        <w:tc>
          <w:tcPr>
            <w:tcW w:w="2730" w:type="dxa"/>
            <w:tcBorders>
              <w:top w:val="nil"/>
              <w:left w:val="nil"/>
              <w:bottom w:val="single" w:sz="4" w:space="0" w:color="auto"/>
              <w:right w:val="single" w:sz="4" w:space="0" w:color="auto"/>
            </w:tcBorders>
            <w:shd w:val="clear" w:color="auto" w:fill="auto"/>
            <w:noWrap/>
            <w:vAlign w:val="bottom"/>
            <w:hideMark/>
          </w:tcPr>
          <w:p w14:paraId="2BE62140" w14:textId="77777777" w:rsidR="007A155B" w:rsidRPr="00EF6C86" w:rsidRDefault="007A155B" w:rsidP="007A155B">
            <w:pPr>
              <w:spacing w:after="0" w:line="240" w:lineRule="auto"/>
              <w:jc w:val="center"/>
              <w:rPr>
                <w:rFonts w:ascii="Calibri" w:eastAsia="Times New Roman" w:hAnsi="Calibri" w:cs="Calibri"/>
                <w:color w:val="000000"/>
              </w:rPr>
            </w:pPr>
            <w:r w:rsidRPr="00EF6C86">
              <w:rPr>
                <w:rFonts w:ascii="Calibri" w:eastAsia="Times New Roman" w:hAnsi="Calibri" w:cs="Calibri"/>
                <w:color w:val="000000"/>
              </w:rPr>
              <w:t>2-3 weeks</w:t>
            </w:r>
          </w:p>
        </w:tc>
      </w:tr>
    </w:tbl>
    <w:p w14:paraId="1C9BB793" w14:textId="1CDE41CB" w:rsidR="00EF6C86" w:rsidRDefault="00EF6C86" w:rsidP="009028D3">
      <w:pPr>
        <w:tabs>
          <w:tab w:val="left" w:pos="360"/>
          <w:tab w:val="left" w:pos="630"/>
        </w:tabs>
        <w:spacing w:after="0" w:line="360" w:lineRule="auto"/>
        <w:jc w:val="both"/>
        <w:rPr>
          <w:rFonts w:ascii="Arial" w:hAnsi="Arial" w:cs="Arial"/>
          <w:sz w:val="24"/>
          <w:szCs w:val="24"/>
        </w:rPr>
      </w:pPr>
    </w:p>
    <w:p w14:paraId="158ED5DA" w14:textId="23AEBC27" w:rsidR="00EF6C86" w:rsidRDefault="00EF6C86" w:rsidP="009028D3">
      <w:pPr>
        <w:tabs>
          <w:tab w:val="left" w:pos="360"/>
          <w:tab w:val="left" w:pos="630"/>
        </w:tabs>
        <w:spacing w:after="0" w:line="360" w:lineRule="auto"/>
        <w:jc w:val="both"/>
        <w:rPr>
          <w:rFonts w:ascii="Arial" w:hAnsi="Arial" w:cs="Arial"/>
          <w:sz w:val="24"/>
          <w:szCs w:val="24"/>
        </w:rPr>
      </w:pPr>
    </w:p>
    <w:p w14:paraId="0174E13D" w14:textId="7BF1960E" w:rsidR="00EF6C86" w:rsidRDefault="00EF6C86" w:rsidP="009028D3">
      <w:pPr>
        <w:tabs>
          <w:tab w:val="left" w:pos="360"/>
          <w:tab w:val="left" w:pos="630"/>
        </w:tabs>
        <w:spacing w:after="0" w:line="360" w:lineRule="auto"/>
        <w:jc w:val="both"/>
        <w:rPr>
          <w:rFonts w:ascii="Arial" w:hAnsi="Arial" w:cs="Arial"/>
          <w:sz w:val="24"/>
          <w:szCs w:val="24"/>
        </w:rPr>
      </w:pPr>
    </w:p>
    <w:p w14:paraId="7E16A06D" w14:textId="77777777" w:rsidR="00EF6C86" w:rsidRPr="002369BD" w:rsidRDefault="00EF6C86" w:rsidP="009028D3">
      <w:pPr>
        <w:tabs>
          <w:tab w:val="left" w:pos="360"/>
          <w:tab w:val="left" w:pos="630"/>
        </w:tabs>
        <w:spacing w:after="0" w:line="360" w:lineRule="auto"/>
        <w:jc w:val="both"/>
        <w:rPr>
          <w:rFonts w:ascii="Arial" w:hAnsi="Arial" w:cs="Arial"/>
          <w:sz w:val="24"/>
          <w:szCs w:val="24"/>
        </w:rPr>
      </w:pPr>
    </w:p>
    <w:p w14:paraId="477E73E0" w14:textId="1A0E84B7" w:rsidR="00945B1B" w:rsidRDefault="00945B1B" w:rsidP="009028D3">
      <w:pPr>
        <w:tabs>
          <w:tab w:val="left" w:pos="360"/>
          <w:tab w:val="left" w:pos="630"/>
        </w:tabs>
        <w:spacing w:after="0" w:line="360" w:lineRule="auto"/>
        <w:jc w:val="both"/>
        <w:rPr>
          <w:rFonts w:ascii="Arial" w:hAnsi="Arial" w:cs="Arial"/>
          <w:sz w:val="20"/>
          <w:szCs w:val="20"/>
        </w:rPr>
      </w:pPr>
    </w:p>
    <w:p w14:paraId="27FDA56C" w14:textId="3D98FC8C" w:rsidR="00945B1B" w:rsidRDefault="00945B1B" w:rsidP="009028D3">
      <w:pPr>
        <w:tabs>
          <w:tab w:val="left" w:pos="360"/>
          <w:tab w:val="left" w:pos="630"/>
        </w:tabs>
        <w:spacing w:after="0" w:line="360" w:lineRule="auto"/>
        <w:jc w:val="both"/>
        <w:rPr>
          <w:rFonts w:ascii="Arial" w:hAnsi="Arial" w:cs="Arial"/>
          <w:sz w:val="20"/>
          <w:szCs w:val="20"/>
        </w:rPr>
      </w:pPr>
    </w:p>
    <w:p w14:paraId="068DAC3A" w14:textId="17F409E5" w:rsidR="00945B1B" w:rsidRDefault="00945B1B" w:rsidP="009028D3">
      <w:pPr>
        <w:tabs>
          <w:tab w:val="left" w:pos="360"/>
          <w:tab w:val="left" w:pos="630"/>
        </w:tabs>
        <w:spacing w:after="0" w:line="360" w:lineRule="auto"/>
        <w:jc w:val="both"/>
        <w:rPr>
          <w:rFonts w:ascii="Arial" w:hAnsi="Arial" w:cs="Arial"/>
          <w:sz w:val="20"/>
          <w:szCs w:val="20"/>
        </w:rPr>
      </w:pPr>
    </w:p>
    <w:p w14:paraId="2FE30D70" w14:textId="262BE549" w:rsidR="00945B1B" w:rsidRDefault="00945B1B" w:rsidP="009028D3">
      <w:pPr>
        <w:tabs>
          <w:tab w:val="left" w:pos="360"/>
          <w:tab w:val="left" w:pos="630"/>
        </w:tabs>
        <w:spacing w:after="0" w:line="360" w:lineRule="auto"/>
        <w:jc w:val="both"/>
        <w:rPr>
          <w:rFonts w:ascii="Arial" w:hAnsi="Arial" w:cs="Arial"/>
          <w:sz w:val="20"/>
          <w:szCs w:val="20"/>
        </w:rPr>
      </w:pPr>
    </w:p>
    <w:p w14:paraId="4650CCEA" w14:textId="3BA0D32F" w:rsidR="00945B1B" w:rsidRDefault="00945B1B" w:rsidP="009028D3">
      <w:pPr>
        <w:tabs>
          <w:tab w:val="left" w:pos="360"/>
          <w:tab w:val="left" w:pos="630"/>
        </w:tabs>
        <w:spacing w:after="0" w:line="360" w:lineRule="auto"/>
        <w:jc w:val="both"/>
        <w:rPr>
          <w:rFonts w:ascii="Arial" w:hAnsi="Arial" w:cs="Arial"/>
          <w:sz w:val="20"/>
          <w:szCs w:val="20"/>
        </w:rPr>
      </w:pPr>
    </w:p>
    <w:p w14:paraId="29F2D245" w14:textId="556D3C7A" w:rsidR="00945B1B" w:rsidRDefault="00945B1B" w:rsidP="009028D3">
      <w:pPr>
        <w:tabs>
          <w:tab w:val="left" w:pos="360"/>
          <w:tab w:val="left" w:pos="630"/>
        </w:tabs>
        <w:spacing w:after="0" w:line="360" w:lineRule="auto"/>
        <w:jc w:val="both"/>
        <w:rPr>
          <w:rFonts w:ascii="Arial" w:hAnsi="Arial" w:cs="Arial"/>
          <w:sz w:val="20"/>
          <w:szCs w:val="20"/>
        </w:rPr>
      </w:pPr>
    </w:p>
    <w:p w14:paraId="4584126E" w14:textId="77777777" w:rsidR="00945B1B" w:rsidRDefault="00945B1B" w:rsidP="009028D3">
      <w:pPr>
        <w:tabs>
          <w:tab w:val="left" w:pos="360"/>
          <w:tab w:val="left" w:pos="630"/>
        </w:tabs>
        <w:spacing w:after="0" w:line="360" w:lineRule="auto"/>
        <w:jc w:val="both"/>
        <w:rPr>
          <w:rFonts w:ascii="Arial" w:hAnsi="Arial" w:cs="Arial"/>
          <w:sz w:val="20"/>
          <w:szCs w:val="20"/>
        </w:rPr>
      </w:pPr>
    </w:p>
    <w:p w14:paraId="51A481B5" w14:textId="7451CA8C" w:rsidR="00945B1B" w:rsidRDefault="00945B1B" w:rsidP="009028D3">
      <w:pPr>
        <w:tabs>
          <w:tab w:val="left" w:pos="360"/>
          <w:tab w:val="left" w:pos="630"/>
        </w:tabs>
        <w:spacing w:after="0" w:line="360" w:lineRule="auto"/>
        <w:jc w:val="both"/>
        <w:rPr>
          <w:rFonts w:ascii="Arial" w:hAnsi="Arial" w:cs="Arial"/>
          <w:sz w:val="20"/>
          <w:szCs w:val="20"/>
        </w:rPr>
      </w:pPr>
    </w:p>
    <w:p w14:paraId="346CD23C" w14:textId="32A59F28" w:rsidR="00945B1B" w:rsidRDefault="00945B1B" w:rsidP="009028D3">
      <w:pPr>
        <w:tabs>
          <w:tab w:val="left" w:pos="360"/>
          <w:tab w:val="left" w:pos="630"/>
        </w:tabs>
        <w:spacing w:after="0" w:line="360" w:lineRule="auto"/>
        <w:jc w:val="both"/>
        <w:rPr>
          <w:rFonts w:ascii="Arial" w:hAnsi="Arial" w:cs="Arial"/>
          <w:sz w:val="20"/>
          <w:szCs w:val="20"/>
        </w:rPr>
      </w:pPr>
    </w:p>
    <w:p w14:paraId="5F2B73DE" w14:textId="77777777" w:rsidR="00945B1B" w:rsidRDefault="00945B1B" w:rsidP="009028D3">
      <w:pPr>
        <w:tabs>
          <w:tab w:val="left" w:pos="360"/>
          <w:tab w:val="left" w:pos="630"/>
        </w:tabs>
        <w:spacing w:after="0" w:line="360" w:lineRule="auto"/>
        <w:jc w:val="both"/>
        <w:rPr>
          <w:rFonts w:ascii="Arial" w:hAnsi="Arial" w:cs="Arial"/>
          <w:sz w:val="20"/>
          <w:szCs w:val="20"/>
        </w:rPr>
      </w:pPr>
    </w:p>
    <w:p w14:paraId="6F3BA85A" w14:textId="36CE0EF2" w:rsidR="00945B1B" w:rsidRDefault="00945B1B" w:rsidP="009028D3">
      <w:pPr>
        <w:tabs>
          <w:tab w:val="left" w:pos="360"/>
          <w:tab w:val="left" w:pos="630"/>
        </w:tabs>
        <w:spacing w:after="0" w:line="360" w:lineRule="auto"/>
        <w:jc w:val="both"/>
        <w:rPr>
          <w:rFonts w:ascii="Arial" w:hAnsi="Arial" w:cs="Arial"/>
          <w:sz w:val="20"/>
          <w:szCs w:val="20"/>
        </w:rPr>
      </w:pPr>
    </w:p>
    <w:p w14:paraId="00F12315" w14:textId="77777777" w:rsidR="007A155B" w:rsidRDefault="007A155B" w:rsidP="007A155B">
      <w:pPr>
        <w:tabs>
          <w:tab w:val="left" w:pos="360"/>
          <w:tab w:val="left" w:pos="630"/>
        </w:tabs>
        <w:spacing w:after="0" w:line="360" w:lineRule="auto"/>
        <w:jc w:val="center"/>
        <w:rPr>
          <w:rFonts w:ascii="Arial" w:hAnsi="Arial" w:cs="Arial"/>
          <w:b/>
          <w:bCs/>
          <w:sz w:val="20"/>
          <w:szCs w:val="20"/>
        </w:rPr>
      </w:pPr>
    </w:p>
    <w:p w14:paraId="58212D5A" w14:textId="3DDB8DDB" w:rsidR="00945B1B" w:rsidRPr="0069565D" w:rsidRDefault="00945B1B" w:rsidP="007A155B">
      <w:pPr>
        <w:tabs>
          <w:tab w:val="left" w:pos="360"/>
          <w:tab w:val="left" w:pos="630"/>
        </w:tabs>
        <w:spacing w:after="0" w:line="360" w:lineRule="auto"/>
        <w:jc w:val="center"/>
        <w:rPr>
          <w:rFonts w:ascii="Arial" w:hAnsi="Arial" w:cs="Arial"/>
          <w:b/>
          <w:sz w:val="20"/>
          <w:szCs w:val="20"/>
        </w:rPr>
      </w:pPr>
      <w:r w:rsidRPr="007A155B">
        <w:rPr>
          <w:rFonts w:ascii="Arial" w:hAnsi="Arial" w:cs="Arial"/>
          <w:b/>
          <w:bCs/>
          <w:sz w:val="20"/>
          <w:szCs w:val="20"/>
        </w:rPr>
        <w:t>T</w:t>
      </w:r>
      <w:r w:rsidRPr="0069565D">
        <w:rPr>
          <w:rFonts w:ascii="Arial" w:hAnsi="Arial" w:cs="Arial"/>
          <w:b/>
          <w:sz w:val="20"/>
          <w:szCs w:val="20"/>
        </w:rPr>
        <w:t>ABLE 2</w:t>
      </w:r>
    </w:p>
    <w:p w14:paraId="2BBF7A90" w14:textId="77777777" w:rsidR="00945B1B" w:rsidRDefault="00945B1B" w:rsidP="00945B1B">
      <w:pPr>
        <w:widowControl w:val="0"/>
        <w:tabs>
          <w:tab w:val="left" w:pos="360"/>
          <w:tab w:val="left" w:pos="630"/>
          <w:tab w:val="left" w:pos="720"/>
          <w:tab w:val="left" w:pos="1080"/>
          <w:tab w:val="left" w:pos="1440"/>
          <w:tab w:val="left" w:pos="1800"/>
        </w:tabs>
        <w:autoSpaceDE w:val="0"/>
        <w:autoSpaceDN w:val="0"/>
        <w:adjustRightInd w:val="0"/>
        <w:spacing w:after="0" w:line="240" w:lineRule="auto"/>
        <w:jc w:val="center"/>
        <w:rPr>
          <w:rFonts w:ascii="Arial" w:hAnsi="Arial" w:cs="Arial"/>
          <w:b/>
          <w:sz w:val="20"/>
          <w:szCs w:val="20"/>
        </w:rPr>
      </w:pPr>
      <w:r w:rsidRPr="0069565D">
        <w:rPr>
          <w:rFonts w:ascii="Arial" w:hAnsi="Arial" w:cs="Arial"/>
          <w:b/>
          <w:sz w:val="20"/>
          <w:szCs w:val="20"/>
        </w:rPr>
        <w:t>Radiation Dosimetry for Adults</w:t>
      </w:r>
    </w:p>
    <w:p w14:paraId="0B6567DE" w14:textId="77777777" w:rsidR="007A155B" w:rsidRDefault="007A155B" w:rsidP="00945B1B">
      <w:pPr>
        <w:widowControl w:val="0"/>
        <w:tabs>
          <w:tab w:val="left" w:pos="360"/>
          <w:tab w:val="left" w:pos="630"/>
          <w:tab w:val="left" w:pos="720"/>
          <w:tab w:val="left" w:pos="1080"/>
          <w:tab w:val="left" w:pos="1440"/>
          <w:tab w:val="left" w:pos="1800"/>
        </w:tabs>
        <w:autoSpaceDE w:val="0"/>
        <w:autoSpaceDN w:val="0"/>
        <w:adjustRightInd w:val="0"/>
        <w:spacing w:after="0" w:line="240" w:lineRule="auto"/>
        <w:jc w:val="center"/>
        <w:rPr>
          <w:rFonts w:ascii="Arial" w:hAnsi="Arial" w:cs="Arial"/>
          <w:b/>
          <w:sz w:val="20"/>
          <w:szCs w:val="20"/>
        </w:rPr>
      </w:pPr>
    </w:p>
    <w:tbl>
      <w:tblPr>
        <w:tblpPr w:leftFromText="180" w:rightFromText="180" w:vertAnchor="text" w:horzAnchor="margin" w:tblpXSpec="center" w:tblpYSpec="top"/>
        <w:tblW w:w="9220" w:type="dxa"/>
        <w:tblLayout w:type="fixed"/>
        <w:tblCellMar>
          <w:left w:w="0" w:type="dxa"/>
          <w:right w:w="0" w:type="dxa"/>
        </w:tblCellMar>
        <w:tblLook w:val="0000" w:firstRow="0" w:lastRow="0" w:firstColumn="0" w:lastColumn="0" w:noHBand="0" w:noVBand="0"/>
      </w:tblPr>
      <w:tblGrid>
        <w:gridCol w:w="2800"/>
        <w:gridCol w:w="1880"/>
        <w:gridCol w:w="2740"/>
        <w:gridCol w:w="1780"/>
        <w:gridCol w:w="20"/>
      </w:tblGrid>
      <w:tr w:rsidR="007A155B" w:rsidRPr="00F354FE" w14:paraId="0B810F05" w14:textId="77777777" w:rsidTr="00992EC6">
        <w:trPr>
          <w:trHeight w:val="237"/>
        </w:trPr>
        <w:tc>
          <w:tcPr>
            <w:tcW w:w="2800" w:type="dxa"/>
            <w:tcBorders>
              <w:top w:val="single" w:sz="8" w:space="0" w:color="auto"/>
              <w:left w:val="nil"/>
              <w:bottom w:val="nil"/>
              <w:right w:val="nil"/>
            </w:tcBorders>
            <w:vAlign w:val="bottom"/>
          </w:tcPr>
          <w:p w14:paraId="0E14F0B8" w14:textId="77777777" w:rsidR="007A155B" w:rsidRPr="0069565D" w:rsidRDefault="007A155B" w:rsidP="00992EC6">
            <w:pPr>
              <w:widowControl w:val="0"/>
              <w:tabs>
                <w:tab w:val="left" w:pos="360"/>
                <w:tab w:val="left" w:pos="630"/>
              </w:tabs>
              <w:autoSpaceDE w:val="0"/>
              <w:autoSpaceDN w:val="0"/>
              <w:adjustRightInd w:val="0"/>
              <w:spacing w:after="0" w:line="229" w:lineRule="exact"/>
              <w:jc w:val="both"/>
              <w:rPr>
                <w:rFonts w:ascii="Arial" w:hAnsi="Arial" w:cs="Arial"/>
                <w:sz w:val="20"/>
                <w:szCs w:val="20"/>
              </w:rPr>
            </w:pPr>
            <w:r w:rsidRPr="0069565D">
              <w:rPr>
                <w:rFonts w:ascii="Arial" w:hAnsi="Arial" w:cs="Arial"/>
                <w:b/>
                <w:bCs/>
                <w:sz w:val="20"/>
                <w:szCs w:val="20"/>
              </w:rPr>
              <w:t>Radiopharmaceuticals</w:t>
            </w:r>
          </w:p>
        </w:tc>
        <w:tc>
          <w:tcPr>
            <w:tcW w:w="1880" w:type="dxa"/>
            <w:tcBorders>
              <w:top w:val="single" w:sz="8" w:space="0" w:color="auto"/>
              <w:left w:val="nil"/>
              <w:bottom w:val="nil"/>
              <w:right w:val="nil"/>
            </w:tcBorders>
            <w:vAlign w:val="bottom"/>
          </w:tcPr>
          <w:p w14:paraId="54638468" w14:textId="77777777" w:rsidR="007A155B" w:rsidRPr="0069565D" w:rsidRDefault="007A155B" w:rsidP="00992EC6">
            <w:pPr>
              <w:widowControl w:val="0"/>
              <w:tabs>
                <w:tab w:val="left" w:pos="360"/>
                <w:tab w:val="left" w:pos="630"/>
              </w:tabs>
              <w:autoSpaceDE w:val="0"/>
              <w:autoSpaceDN w:val="0"/>
              <w:adjustRightInd w:val="0"/>
              <w:spacing w:after="0" w:line="229" w:lineRule="exact"/>
              <w:jc w:val="both"/>
              <w:rPr>
                <w:rFonts w:ascii="Arial" w:hAnsi="Arial" w:cs="Arial"/>
                <w:sz w:val="20"/>
                <w:szCs w:val="20"/>
              </w:rPr>
            </w:pPr>
            <w:r w:rsidRPr="0069565D">
              <w:rPr>
                <w:rFonts w:ascii="Arial" w:hAnsi="Arial" w:cs="Arial"/>
                <w:b/>
                <w:bCs/>
                <w:w w:val="99"/>
                <w:sz w:val="20"/>
                <w:szCs w:val="20"/>
              </w:rPr>
              <w:t>Administered</w:t>
            </w:r>
          </w:p>
        </w:tc>
        <w:tc>
          <w:tcPr>
            <w:tcW w:w="2740" w:type="dxa"/>
            <w:tcBorders>
              <w:top w:val="single" w:sz="8" w:space="0" w:color="auto"/>
              <w:left w:val="nil"/>
              <w:bottom w:val="nil"/>
              <w:right w:val="nil"/>
            </w:tcBorders>
            <w:vAlign w:val="bottom"/>
          </w:tcPr>
          <w:p w14:paraId="08DB6127" w14:textId="77777777" w:rsidR="007A155B" w:rsidRPr="0069565D" w:rsidRDefault="007A155B" w:rsidP="00992EC6">
            <w:pPr>
              <w:widowControl w:val="0"/>
              <w:tabs>
                <w:tab w:val="left" w:pos="360"/>
                <w:tab w:val="left" w:pos="630"/>
              </w:tabs>
              <w:autoSpaceDE w:val="0"/>
              <w:autoSpaceDN w:val="0"/>
              <w:adjustRightInd w:val="0"/>
              <w:spacing w:after="0" w:line="229" w:lineRule="exact"/>
              <w:jc w:val="both"/>
              <w:rPr>
                <w:rFonts w:ascii="Arial" w:hAnsi="Arial" w:cs="Arial"/>
                <w:sz w:val="20"/>
                <w:szCs w:val="20"/>
              </w:rPr>
            </w:pPr>
            <w:r w:rsidRPr="0069565D">
              <w:rPr>
                <w:rFonts w:ascii="Arial" w:hAnsi="Arial" w:cs="Arial"/>
                <w:b/>
                <w:bCs/>
                <w:sz w:val="20"/>
                <w:szCs w:val="20"/>
              </w:rPr>
              <w:t>Organ Receiving the</w:t>
            </w:r>
          </w:p>
        </w:tc>
        <w:tc>
          <w:tcPr>
            <w:tcW w:w="1780" w:type="dxa"/>
            <w:tcBorders>
              <w:top w:val="single" w:sz="8" w:space="0" w:color="auto"/>
              <w:left w:val="nil"/>
              <w:bottom w:val="nil"/>
              <w:right w:val="nil"/>
            </w:tcBorders>
            <w:vAlign w:val="bottom"/>
          </w:tcPr>
          <w:p w14:paraId="632AC0B3" w14:textId="77777777" w:rsidR="007A155B" w:rsidRPr="0069565D" w:rsidRDefault="007A155B" w:rsidP="00992EC6">
            <w:pPr>
              <w:widowControl w:val="0"/>
              <w:tabs>
                <w:tab w:val="left" w:pos="360"/>
                <w:tab w:val="left" w:pos="630"/>
              </w:tabs>
              <w:autoSpaceDE w:val="0"/>
              <w:autoSpaceDN w:val="0"/>
              <w:adjustRightInd w:val="0"/>
              <w:spacing w:after="0" w:line="229" w:lineRule="exact"/>
              <w:jc w:val="both"/>
              <w:rPr>
                <w:rFonts w:ascii="Arial" w:hAnsi="Arial" w:cs="Arial"/>
                <w:sz w:val="20"/>
                <w:szCs w:val="20"/>
              </w:rPr>
            </w:pPr>
            <w:r w:rsidRPr="0069565D">
              <w:rPr>
                <w:rFonts w:ascii="Arial" w:hAnsi="Arial" w:cs="Arial"/>
                <w:b/>
                <w:bCs/>
                <w:sz w:val="20"/>
                <w:szCs w:val="20"/>
              </w:rPr>
              <w:t>Effective Dose</w:t>
            </w:r>
          </w:p>
        </w:tc>
        <w:tc>
          <w:tcPr>
            <w:tcW w:w="20" w:type="dxa"/>
            <w:tcBorders>
              <w:top w:val="nil"/>
              <w:left w:val="nil"/>
              <w:bottom w:val="nil"/>
              <w:right w:val="nil"/>
            </w:tcBorders>
            <w:vAlign w:val="bottom"/>
          </w:tcPr>
          <w:p w14:paraId="7A2F8152"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486952D4" w14:textId="77777777" w:rsidTr="00992EC6">
        <w:trPr>
          <w:trHeight w:val="265"/>
        </w:trPr>
        <w:tc>
          <w:tcPr>
            <w:tcW w:w="2800" w:type="dxa"/>
            <w:tcBorders>
              <w:top w:val="nil"/>
              <w:left w:val="nil"/>
              <w:bottom w:val="nil"/>
              <w:right w:val="nil"/>
            </w:tcBorders>
            <w:vAlign w:val="bottom"/>
          </w:tcPr>
          <w:p w14:paraId="7129D967"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1880" w:type="dxa"/>
            <w:tcBorders>
              <w:top w:val="nil"/>
              <w:left w:val="nil"/>
              <w:bottom w:val="nil"/>
              <w:right w:val="nil"/>
            </w:tcBorders>
            <w:vAlign w:val="bottom"/>
          </w:tcPr>
          <w:p w14:paraId="6D863329"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b/>
                <w:bCs/>
                <w:sz w:val="20"/>
                <w:szCs w:val="20"/>
              </w:rPr>
              <w:t>Activity</w:t>
            </w:r>
          </w:p>
        </w:tc>
        <w:tc>
          <w:tcPr>
            <w:tcW w:w="2740" w:type="dxa"/>
            <w:tcBorders>
              <w:top w:val="nil"/>
              <w:left w:val="nil"/>
              <w:bottom w:val="nil"/>
              <w:right w:val="nil"/>
            </w:tcBorders>
            <w:vAlign w:val="bottom"/>
          </w:tcPr>
          <w:p w14:paraId="506597B7"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b/>
                <w:bCs/>
                <w:sz w:val="20"/>
                <w:szCs w:val="20"/>
              </w:rPr>
              <w:t>Largest Radiation Dose</w:t>
            </w:r>
          </w:p>
        </w:tc>
        <w:tc>
          <w:tcPr>
            <w:tcW w:w="1780" w:type="dxa"/>
            <w:tcBorders>
              <w:top w:val="nil"/>
              <w:left w:val="nil"/>
              <w:bottom w:val="nil"/>
              <w:right w:val="nil"/>
            </w:tcBorders>
            <w:vAlign w:val="bottom"/>
          </w:tcPr>
          <w:p w14:paraId="647A3001"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20" w:type="dxa"/>
            <w:tcBorders>
              <w:top w:val="nil"/>
              <w:left w:val="nil"/>
              <w:bottom w:val="nil"/>
              <w:right w:val="nil"/>
            </w:tcBorders>
            <w:vAlign w:val="bottom"/>
          </w:tcPr>
          <w:p w14:paraId="3E907F1D"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559BB93D" w14:textId="77777777" w:rsidTr="00130832">
        <w:trPr>
          <w:trHeight w:val="291"/>
        </w:trPr>
        <w:tc>
          <w:tcPr>
            <w:tcW w:w="2800" w:type="dxa"/>
            <w:tcBorders>
              <w:top w:val="nil"/>
              <w:left w:val="nil"/>
              <w:right w:val="nil"/>
            </w:tcBorders>
            <w:vAlign w:val="bottom"/>
          </w:tcPr>
          <w:p w14:paraId="0B9B59F3"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1880" w:type="dxa"/>
            <w:tcBorders>
              <w:top w:val="nil"/>
              <w:left w:val="nil"/>
              <w:right w:val="nil"/>
            </w:tcBorders>
            <w:vAlign w:val="bottom"/>
          </w:tcPr>
          <w:p w14:paraId="61D664F7"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b/>
                <w:bCs/>
                <w:sz w:val="20"/>
                <w:szCs w:val="20"/>
              </w:rPr>
              <w:t>MBq</w:t>
            </w:r>
          </w:p>
        </w:tc>
        <w:tc>
          <w:tcPr>
            <w:tcW w:w="2740" w:type="dxa"/>
            <w:tcBorders>
              <w:top w:val="nil"/>
              <w:left w:val="nil"/>
              <w:right w:val="nil"/>
            </w:tcBorders>
            <w:vAlign w:val="bottom"/>
          </w:tcPr>
          <w:p w14:paraId="78EC3F94"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roofErr w:type="spellStart"/>
            <w:r w:rsidRPr="0069565D">
              <w:rPr>
                <w:rFonts w:ascii="Arial" w:hAnsi="Arial" w:cs="Arial"/>
                <w:b/>
                <w:bCs/>
                <w:sz w:val="20"/>
                <w:szCs w:val="20"/>
              </w:rPr>
              <w:t>mGy</w:t>
            </w:r>
            <w:proofErr w:type="spellEnd"/>
            <w:r w:rsidRPr="0069565D">
              <w:rPr>
                <w:rFonts w:ascii="Arial" w:hAnsi="Arial" w:cs="Arial"/>
                <w:b/>
                <w:bCs/>
                <w:sz w:val="20"/>
                <w:szCs w:val="20"/>
              </w:rPr>
              <w:t>/MBq</w:t>
            </w:r>
          </w:p>
        </w:tc>
        <w:tc>
          <w:tcPr>
            <w:tcW w:w="1780" w:type="dxa"/>
            <w:tcBorders>
              <w:top w:val="nil"/>
              <w:left w:val="nil"/>
              <w:right w:val="nil"/>
            </w:tcBorders>
            <w:vAlign w:val="bottom"/>
          </w:tcPr>
          <w:p w14:paraId="1A500788"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b/>
                <w:bCs/>
                <w:sz w:val="20"/>
                <w:szCs w:val="20"/>
              </w:rPr>
              <w:t>mSv/MBq</w:t>
            </w:r>
          </w:p>
        </w:tc>
        <w:tc>
          <w:tcPr>
            <w:tcW w:w="20" w:type="dxa"/>
            <w:tcBorders>
              <w:top w:val="nil"/>
              <w:left w:val="nil"/>
              <w:right w:val="nil"/>
            </w:tcBorders>
            <w:vAlign w:val="bottom"/>
          </w:tcPr>
          <w:p w14:paraId="0B3D9C24"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328E8CA1" w14:textId="77777777" w:rsidTr="00130832">
        <w:trPr>
          <w:trHeight w:val="265"/>
        </w:trPr>
        <w:tc>
          <w:tcPr>
            <w:tcW w:w="2800" w:type="dxa"/>
            <w:tcBorders>
              <w:top w:val="nil"/>
              <w:left w:val="nil"/>
              <w:bottom w:val="single" w:sz="4" w:space="0" w:color="auto"/>
              <w:right w:val="nil"/>
            </w:tcBorders>
            <w:vAlign w:val="bottom"/>
          </w:tcPr>
          <w:p w14:paraId="521E40C9"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1880" w:type="dxa"/>
            <w:tcBorders>
              <w:top w:val="nil"/>
              <w:left w:val="nil"/>
              <w:bottom w:val="single" w:sz="4" w:space="0" w:color="auto"/>
              <w:right w:val="nil"/>
            </w:tcBorders>
            <w:vAlign w:val="bottom"/>
          </w:tcPr>
          <w:p w14:paraId="6DA840E0"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b/>
                <w:bCs/>
                <w:sz w:val="20"/>
                <w:szCs w:val="20"/>
              </w:rPr>
              <w:t>(mCi)</w:t>
            </w:r>
          </w:p>
        </w:tc>
        <w:tc>
          <w:tcPr>
            <w:tcW w:w="2740" w:type="dxa"/>
            <w:tcBorders>
              <w:top w:val="nil"/>
              <w:left w:val="nil"/>
              <w:bottom w:val="single" w:sz="4" w:space="0" w:color="auto"/>
              <w:right w:val="nil"/>
            </w:tcBorders>
            <w:vAlign w:val="bottom"/>
          </w:tcPr>
          <w:p w14:paraId="6ACDB3C1"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b/>
                <w:bCs/>
                <w:sz w:val="20"/>
                <w:szCs w:val="20"/>
              </w:rPr>
              <w:t>(rad/mCi)</w:t>
            </w:r>
          </w:p>
        </w:tc>
        <w:tc>
          <w:tcPr>
            <w:tcW w:w="1780" w:type="dxa"/>
            <w:tcBorders>
              <w:top w:val="nil"/>
              <w:left w:val="nil"/>
              <w:bottom w:val="single" w:sz="4" w:space="0" w:color="auto"/>
              <w:right w:val="nil"/>
            </w:tcBorders>
            <w:vAlign w:val="bottom"/>
          </w:tcPr>
          <w:p w14:paraId="7075DFFB"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b/>
                <w:bCs/>
                <w:w w:val="99"/>
                <w:sz w:val="20"/>
                <w:szCs w:val="20"/>
              </w:rPr>
              <w:t>(rem/mCi)</w:t>
            </w:r>
          </w:p>
        </w:tc>
        <w:tc>
          <w:tcPr>
            <w:tcW w:w="20" w:type="dxa"/>
            <w:tcBorders>
              <w:top w:val="nil"/>
              <w:left w:val="nil"/>
              <w:bottom w:val="single" w:sz="4" w:space="0" w:color="auto"/>
              <w:right w:val="nil"/>
            </w:tcBorders>
            <w:vAlign w:val="bottom"/>
          </w:tcPr>
          <w:p w14:paraId="751E9D89"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6C0EF24B" w14:textId="77777777" w:rsidTr="00130832">
        <w:trPr>
          <w:trHeight w:val="221"/>
        </w:trPr>
        <w:tc>
          <w:tcPr>
            <w:tcW w:w="2800" w:type="dxa"/>
            <w:tcBorders>
              <w:top w:val="single" w:sz="4" w:space="0" w:color="auto"/>
              <w:left w:val="nil"/>
              <w:bottom w:val="nil"/>
              <w:right w:val="nil"/>
            </w:tcBorders>
            <w:vAlign w:val="bottom"/>
          </w:tcPr>
          <w:p w14:paraId="55667B72" w14:textId="7A0330CF" w:rsidR="007A155B" w:rsidRPr="0069565D" w:rsidRDefault="007A155B" w:rsidP="00992EC6">
            <w:pPr>
              <w:widowControl w:val="0"/>
              <w:tabs>
                <w:tab w:val="left" w:pos="360"/>
                <w:tab w:val="left" w:pos="630"/>
              </w:tabs>
              <w:autoSpaceDE w:val="0"/>
              <w:autoSpaceDN w:val="0"/>
              <w:adjustRightInd w:val="0"/>
              <w:spacing w:after="0" w:line="220" w:lineRule="exact"/>
              <w:jc w:val="both"/>
              <w:rPr>
                <w:rFonts w:ascii="Arial" w:hAnsi="Arial" w:cs="Arial"/>
                <w:sz w:val="20"/>
                <w:szCs w:val="20"/>
              </w:rPr>
            </w:pPr>
            <w:r w:rsidRPr="0069565D">
              <w:rPr>
                <w:rFonts w:ascii="Arial" w:hAnsi="Arial" w:cs="Arial"/>
                <w:sz w:val="20"/>
                <w:szCs w:val="20"/>
                <w:vertAlign w:val="superscript"/>
              </w:rPr>
              <w:t>18</w:t>
            </w:r>
            <w:r w:rsidRPr="0069565D">
              <w:rPr>
                <w:rFonts w:ascii="Arial" w:hAnsi="Arial" w:cs="Arial"/>
                <w:sz w:val="20"/>
                <w:szCs w:val="20"/>
              </w:rPr>
              <w:t>F-fluorodeoxyglucose</w:t>
            </w:r>
          </w:p>
        </w:tc>
        <w:tc>
          <w:tcPr>
            <w:tcW w:w="1880" w:type="dxa"/>
            <w:tcBorders>
              <w:top w:val="single" w:sz="4" w:space="0" w:color="auto"/>
              <w:left w:val="nil"/>
              <w:bottom w:val="nil"/>
              <w:right w:val="nil"/>
            </w:tcBorders>
            <w:vAlign w:val="bottom"/>
          </w:tcPr>
          <w:p w14:paraId="579AA5AB" w14:textId="77777777" w:rsidR="007A155B" w:rsidRPr="0069565D" w:rsidRDefault="007A155B" w:rsidP="00992EC6">
            <w:pPr>
              <w:widowControl w:val="0"/>
              <w:tabs>
                <w:tab w:val="left" w:pos="360"/>
                <w:tab w:val="left" w:pos="630"/>
              </w:tabs>
              <w:autoSpaceDE w:val="0"/>
              <w:autoSpaceDN w:val="0"/>
              <w:adjustRightInd w:val="0"/>
              <w:spacing w:after="0" w:line="220" w:lineRule="exact"/>
              <w:jc w:val="both"/>
              <w:rPr>
                <w:rFonts w:ascii="Arial" w:hAnsi="Arial" w:cs="Arial"/>
                <w:sz w:val="20"/>
                <w:szCs w:val="20"/>
              </w:rPr>
            </w:pPr>
            <w:r w:rsidRPr="0069565D">
              <w:rPr>
                <w:rFonts w:ascii="Arial" w:hAnsi="Arial" w:cs="Arial"/>
                <w:sz w:val="20"/>
                <w:szCs w:val="20"/>
              </w:rPr>
              <w:t>370–740 IV</w:t>
            </w:r>
          </w:p>
        </w:tc>
        <w:tc>
          <w:tcPr>
            <w:tcW w:w="2740" w:type="dxa"/>
            <w:tcBorders>
              <w:top w:val="single" w:sz="4" w:space="0" w:color="auto"/>
              <w:left w:val="nil"/>
              <w:bottom w:val="nil"/>
              <w:right w:val="nil"/>
            </w:tcBorders>
            <w:vAlign w:val="bottom"/>
          </w:tcPr>
          <w:p w14:paraId="62D2887B" w14:textId="77777777" w:rsidR="007A155B" w:rsidRPr="0069565D" w:rsidRDefault="007A155B" w:rsidP="00992EC6">
            <w:pPr>
              <w:widowControl w:val="0"/>
              <w:tabs>
                <w:tab w:val="left" w:pos="360"/>
                <w:tab w:val="left" w:pos="630"/>
              </w:tabs>
              <w:autoSpaceDE w:val="0"/>
              <w:autoSpaceDN w:val="0"/>
              <w:adjustRightInd w:val="0"/>
              <w:spacing w:after="0" w:line="220" w:lineRule="exact"/>
              <w:jc w:val="both"/>
              <w:rPr>
                <w:rFonts w:ascii="Arial" w:hAnsi="Arial" w:cs="Arial"/>
                <w:sz w:val="20"/>
                <w:szCs w:val="20"/>
              </w:rPr>
            </w:pPr>
            <w:r w:rsidRPr="0069565D">
              <w:rPr>
                <w:rFonts w:ascii="Arial" w:hAnsi="Arial" w:cs="Arial"/>
                <w:sz w:val="20"/>
                <w:szCs w:val="20"/>
              </w:rPr>
              <w:t>0.1</w:t>
            </w:r>
            <w:r>
              <w:rPr>
                <w:rFonts w:ascii="Arial" w:hAnsi="Arial" w:cs="Arial"/>
                <w:sz w:val="20"/>
                <w:szCs w:val="20"/>
              </w:rPr>
              <w:t>5</w:t>
            </w:r>
          </w:p>
        </w:tc>
        <w:tc>
          <w:tcPr>
            <w:tcW w:w="1780" w:type="dxa"/>
            <w:tcBorders>
              <w:top w:val="single" w:sz="4" w:space="0" w:color="auto"/>
              <w:left w:val="nil"/>
              <w:bottom w:val="nil"/>
              <w:right w:val="nil"/>
            </w:tcBorders>
            <w:vAlign w:val="bottom"/>
          </w:tcPr>
          <w:p w14:paraId="41CABE16" w14:textId="77777777" w:rsidR="007A155B" w:rsidRPr="0069565D" w:rsidRDefault="007A155B" w:rsidP="00992EC6">
            <w:pPr>
              <w:widowControl w:val="0"/>
              <w:tabs>
                <w:tab w:val="left" w:pos="360"/>
                <w:tab w:val="left" w:pos="630"/>
              </w:tabs>
              <w:autoSpaceDE w:val="0"/>
              <w:autoSpaceDN w:val="0"/>
              <w:adjustRightInd w:val="0"/>
              <w:spacing w:after="0" w:line="220" w:lineRule="exact"/>
              <w:jc w:val="both"/>
              <w:rPr>
                <w:rFonts w:ascii="Arial" w:hAnsi="Arial" w:cs="Arial"/>
                <w:sz w:val="20"/>
                <w:szCs w:val="20"/>
              </w:rPr>
            </w:pPr>
            <w:r w:rsidRPr="0069565D">
              <w:rPr>
                <w:rFonts w:ascii="Arial" w:hAnsi="Arial" w:cs="Arial"/>
                <w:w w:val="97"/>
                <w:sz w:val="20"/>
                <w:szCs w:val="20"/>
              </w:rPr>
              <w:t>0.019</w:t>
            </w:r>
          </w:p>
        </w:tc>
        <w:tc>
          <w:tcPr>
            <w:tcW w:w="20" w:type="dxa"/>
            <w:tcBorders>
              <w:top w:val="single" w:sz="4" w:space="0" w:color="auto"/>
              <w:left w:val="nil"/>
              <w:bottom w:val="nil"/>
              <w:right w:val="nil"/>
            </w:tcBorders>
            <w:vAlign w:val="bottom"/>
          </w:tcPr>
          <w:p w14:paraId="19EB1EF2"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2C5A297A" w14:textId="77777777" w:rsidTr="00992EC6">
        <w:trPr>
          <w:trHeight w:val="240"/>
        </w:trPr>
        <w:tc>
          <w:tcPr>
            <w:tcW w:w="2800" w:type="dxa"/>
            <w:tcBorders>
              <w:top w:val="nil"/>
              <w:left w:val="nil"/>
              <w:bottom w:val="nil"/>
              <w:right w:val="nil"/>
            </w:tcBorders>
            <w:vAlign w:val="bottom"/>
          </w:tcPr>
          <w:p w14:paraId="147212EC"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1880" w:type="dxa"/>
            <w:tcBorders>
              <w:top w:val="nil"/>
              <w:left w:val="nil"/>
              <w:bottom w:val="nil"/>
              <w:right w:val="nil"/>
            </w:tcBorders>
            <w:vAlign w:val="bottom"/>
          </w:tcPr>
          <w:p w14:paraId="774C9BF5"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(10-20)</w:t>
            </w:r>
          </w:p>
        </w:tc>
        <w:tc>
          <w:tcPr>
            <w:tcW w:w="2740" w:type="dxa"/>
            <w:tcBorders>
              <w:top w:val="nil"/>
              <w:left w:val="nil"/>
              <w:bottom w:val="nil"/>
              <w:right w:val="nil"/>
            </w:tcBorders>
            <w:vAlign w:val="bottom"/>
          </w:tcPr>
          <w:p w14:paraId="5107F6FF"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bladder wall</w:t>
            </w:r>
          </w:p>
        </w:tc>
        <w:tc>
          <w:tcPr>
            <w:tcW w:w="1780" w:type="dxa"/>
            <w:tcBorders>
              <w:top w:val="nil"/>
              <w:left w:val="nil"/>
              <w:bottom w:val="nil"/>
              <w:right w:val="nil"/>
            </w:tcBorders>
            <w:vAlign w:val="bottom"/>
          </w:tcPr>
          <w:p w14:paraId="399B6B2E"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20" w:type="dxa"/>
            <w:tcBorders>
              <w:top w:val="nil"/>
              <w:left w:val="nil"/>
              <w:bottom w:val="nil"/>
              <w:right w:val="nil"/>
            </w:tcBorders>
            <w:vAlign w:val="bottom"/>
          </w:tcPr>
          <w:p w14:paraId="1A6B95AF"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4C778FEB" w14:textId="77777777" w:rsidTr="00992EC6">
        <w:trPr>
          <w:trHeight w:val="261"/>
        </w:trPr>
        <w:tc>
          <w:tcPr>
            <w:tcW w:w="2800" w:type="dxa"/>
            <w:tcBorders>
              <w:top w:val="nil"/>
              <w:left w:val="nil"/>
              <w:bottom w:val="nil"/>
              <w:right w:val="nil"/>
            </w:tcBorders>
            <w:vAlign w:val="bottom"/>
          </w:tcPr>
          <w:p w14:paraId="19F5EB10"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1880" w:type="dxa"/>
            <w:tcBorders>
              <w:top w:val="nil"/>
              <w:left w:val="nil"/>
              <w:bottom w:val="nil"/>
              <w:right w:val="nil"/>
            </w:tcBorders>
            <w:vAlign w:val="bottom"/>
          </w:tcPr>
          <w:p w14:paraId="0A479211"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2740" w:type="dxa"/>
            <w:tcBorders>
              <w:top w:val="nil"/>
              <w:left w:val="nil"/>
              <w:bottom w:val="nil"/>
              <w:right w:val="nil"/>
            </w:tcBorders>
            <w:vAlign w:val="bottom"/>
          </w:tcPr>
          <w:p w14:paraId="76BB5410"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9"/>
                <w:sz w:val="20"/>
                <w:szCs w:val="20"/>
              </w:rPr>
              <w:t>(0.5</w:t>
            </w:r>
            <w:r>
              <w:rPr>
                <w:rFonts w:ascii="Arial" w:hAnsi="Arial" w:cs="Arial"/>
                <w:w w:val="99"/>
                <w:sz w:val="20"/>
                <w:szCs w:val="20"/>
              </w:rPr>
              <w:t>6</w:t>
            </w:r>
            <w:r w:rsidRPr="0069565D">
              <w:rPr>
                <w:rFonts w:ascii="Arial" w:hAnsi="Arial" w:cs="Arial"/>
                <w:w w:val="99"/>
                <w:sz w:val="20"/>
                <w:szCs w:val="20"/>
              </w:rPr>
              <w:t>)</w:t>
            </w:r>
          </w:p>
        </w:tc>
        <w:tc>
          <w:tcPr>
            <w:tcW w:w="1780" w:type="dxa"/>
            <w:tcBorders>
              <w:top w:val="nil"/>
              <w:left w:val="nil"/>
              <w:bottom w:val="nil"/>
              <w:right w:val="nil"/>
            </w:tcBorders>
            <w:vAlign w:val="bottom"/>
          </w:tcPr>
          <w:p w14:paraId="0B94EB5E"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9"/>
                <w:sz w:val="20"/>
                <w:szCs w:val="20"/>
              </w:rPr>
              <w:t>(0.07)</w:t>
            </w:r>
          </w:p>
        </w:tc>
        <w:tc>
          <w:tcPr>
            <w:tcW w:w="20" w:type="dxa"/>
            <w:tcBorders>
              <w:top w:val="nil"/>
              <w:left w:val="nil"/>
              <w:bottom w:val="nil"/>
              <w:right w:val="nil"/>
            </w:tcBorders>
            <w:vAlign w:val="bottom"/>
          </w:tcPr>
          <w:p w14:paraId="6B162ADF"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3521264D" w14:textId="77777777" w:rsidTr="00992EC6">
        <w:trPr>
          <w:trHeight w:val="300"/>
        </w:trPr>
        <w:tc>
          <w:tcPr>
            <w:tcW w:w="2800" w:type="dxa"/>
            <w:tcBorders>
              <w:top w:val="nil"/>
              <w:left w:val="nil"/>
              <w:bottom w:val="nil"/>
              <w:right w:val="nil"/>
            </w:tcBorders>
            <w:vAlign w:val="bottom"/>
          </w:tcPr>
          <w:p w14:paraId="21D8FB39" w14:textId="6774643E"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Na</w:t>
            </w:r>
            <w:r w:rsidRPr="0069565D">
              <w:rPr>
                <w:rFonts w:ascii="Arial" w:hAnsi="Arial" w:cs="Arial"/>
                <w:sz w:val="20"/>
                <w:szCs w:val="20"/>
                <w:vertAlign w:val="superscript"/>
              </w:rPr>
              <w:t>123</w:t>
            </w:r>
            <w:r w:rsidRPr="0069565D">
              <w:rPr>
                <w:rFonts w:ascii="Arial" w:hAnsi="Arial" w:cs="Arial"/>
                <w:sz w:val="20"/>
                <w:szCs w:val="20"/>
              </w:rPr>
              <w:t>I iodide</w:t>
            </w:r>
          </w:p>
        </w:tc>
        <w:tc>
          <w:tcPr>
            <w:tcW w:w="1880" w:type="dxa"/>
            <w:tcBorders>
              <w:top w:val="nil"/>
              <w:left w:val="nil"/>
              <w:bottom w:val="nil"/>
              <w:right w:val="nil"/>
            </w:tcBorders>
            <w:vAlign w:val="bottom"/>
          </w:tcPr>
          <w:p w14:paraId="1C2A6CD0"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9"/>
                <w:sz w:val="20"/>
                <w:szCs w:val="20"/>
              </w:rPr>
              <w:t>74–148 PO</w:t>
            </w:r>
          </w:p>
        </w:tc>
        <w:tc>
          <w:tcPr>
            <w:tcW w:w="2740" w:type="dxa"/>
            <w:tcBorders>
              <w:top w:val="nil"/>
              <w:left w:val="nil"/>
              <w:bottom w:val="nil"/>
              <w:right w:val="nil"/>
            </w:tcBorders>
            <w:vAlign w:val="bottom"/>
          </w:tcPr>
          <w:p w14:paraId="229D1665"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0.09</w:t>
            </w:r>
            <w:r>
              <w:rPr>
                <w:rFonts w:ascii="Arial" w:hAnsi="Arial" w:cs="Arial"/>
                <w:sz w:val="20"/>
                <w:szCs w:val="20"/>
              </w:rPr>
              <w:t>7</w:t>
            </w:r>
          </w:p>
        </w:tc>
        <w:tc>
          <w:tcPr>
            <w:tcW w:w="1780" w:type="dxa"/>
            <w:tcBorders>
              <w:top w:val="nil"/>
              <w:left w:val="nil"/>
              <w:bottom w:val="nil"/>
              <w:right w:val="nil"/>
            </w:tcBorders>
            <w:vAlign w:val="bottom"/>
          </w:tcPr>
          <w:p w14:paraId="7F70E852"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7"/>
                <w:sz w:val="20"/>
                <w:szCs w:val="20"/>
              </w:rPr>
              <w:t>0.01</w:t>
            </w:r>
            <w:r>
              <w:rPr>
                <w:rFonts w:ascii="Arial" w:hAnsi="Arial" w:cs="Arial"/>
                <w:w w:val="97"/>
                <w:sz w:val="20"/>
                <w:szCs w:val="20"/>
              </w:rPr>
              <w:t>0</w:t>
            </w:r>
          </w:p>
        </w:tc>
        <w:tc>
          <w:tcPr>
            <w:tcW w:w="20" w:type="dxa"/>
            <w:tcBorders>
              <w:top w:val="nil"/>
              <w:left w:val="nil"/>
              <w:bottom w:val="nil"/>
              <w:right w:val="nil"/>
            </w:tcBorders>
            <w:vAlign w:val="bottom"/>
          </w:tcPr>
          <w:p w14:paraId="298D8482"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53AC931C" w14:textId="77777777" w:rsidTr="00992EC6">
        <w:trPr>
          <w:trHeight w:val="240"/>
        </w:trPr>
        <w:tc>
          <w:tcPr>
            <w:tcW w:w="2800" w:type="dxa"/>
            <w:tcBorders>
              <w:top w:val="nil"/>
              <w:left w:val="nil"/>
              <w:bottom w:val="nil"/>
              <w:right w:val="nil"/>
            </w:tcBorders>
            <w:vAlign w:val="bottom"/>
          </w:tcPr>
          <w:p w14:paraId="53C71EDB"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(0% thyroid uptake)</w:t>
            </w:r>
          </w:p>
        </w:tc>
        <w:tc>
          <w:tcPr>
            <w:tcW w:w="1880" w:type="dxa"/>
            <w:vMerge w:val="restart"/>
            <w:tcBorders>
              <w:top w:val="nil"/>
              <w:left w:val="nil"/>
              <w:bottom w:val="nil"/>
              <w:right w:val="nil"/>
            </w:tcBorders>
            <w:vAlign w:val="bottom"/>
          </w:tcPr>
          <w:p w14:paraId="18F78AF5"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9"/>
                <w:sz w:val="20"/>
                <w:szCs w:val="20"/>
              </w:rPr>
              <w:t>(2-</w:t>
            </w:r>
            <w:proofErr w:type="gramStart"/>
            <w:r w:rsidRPr="0069565D">
              <w:rPr>
                <w:rFonts w:ascii="Arial" w:hAnsi="Arial" w:cs="Arial"/>
                <w:w w:val="99"/>
                <w:sz w:val="20"/>
                <w:szCs w:val="20"/>
              </w:rPr>
              <w:t>4)</w:t>
            </w:r>
            <w:r w:rsidRPr="0069565D">
              <w:rPr>
                <w:rFonts w:ascii="Arial" w:hAnsi="Arial" w:cs="Arial"/>
                <w:w w:val="99"/>
                <w:sz w:val="20"/>
                <w:szCs w:val="20"/>
                <w:vertAlign w:val="superscript"/>
              </w:rPr>
              <w:t>c</w:t>
            </w:r>
            <w:proofErr w:type="gramEnd"/>
          </w:p>
        </w:tc>
        <w:tc>
          <w:tcPr>
            <w:tcW w:w="2740" w:type="dxa"/>
            <w:tcBorders>
              <w:top w:val="nil"/>
              <w:left w:val="nil"/>
              <w:bottom w:val="nil"/>
              <w:right w:val="nil"/>
            </w:tcBorders>
            <w:vAlign w:val="bottom"/>
          </w:tcPr>
          <w:p w14:paraId="6B9A92D9"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bladder wall</w:t>
            </w:r>
          </w:p>
        </w:tc>
        <w:tc>
          <w:tcPr>
            <w:tcW w:w="1780" w:type="dxa"/>
            <w:tcBorders>
              <w:top w:val="nil"/>
              <w:left w:val="nil"/>
              <w:bottom w:val="nil"/>
              <w:right w:val="nil"/>
            </w:tcBorders>
            <w:vAlign w:val="bottom"/>
          </w:tcPr>
          <w:p w14:paraId="2400715D"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20" w:type="dxa"/>
            <w:tcBorders>
              <w:top w:val="nil"/>
              <w:left w:val="nil"/>
              <w:bottom w:val="nil"/>
              <w:right w:val="nil"/>
            </w:tcBorders>
            <w:vAlign w:val="bottom"/>
          </w:tcPr>
          <w:p w14:paraId="4009D13B"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77918610" w14:textId="77777777" w:rsidTr="00992EC6">
        <w:trPr>
          <w:trHeight w:val="44"/>
        </w:trPr>
        <w:tc>
          <w:tcPr>
            <w:tcW w:w="2800" w:type="dxa"/>
            <w:tcBorders>
              <w:top w:val="nil"/>
              <w:left w:val="nil"/>
              <w:bottom w:val="nil"/>
              <w:right w:val="nil"/>
            </w:tcBorders>
            <w:vAlign w:val="bottom"/>
          </w:tcPr>
          <w:p w14:paraId="1E946860"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1880" w:type="dxa"/>
            <w:vMerge/>
            <w:tcBorders>
              <w:top w:val="nil"/>
              <w:left w:val="nil"/>
              <w:bottom w:val="nil"/>
              <w:right w:val="nil"/>
            </w:tcBorders>
            <w:vAlign w:val="bottom"/>
          </w:tcPr>
          <w:p w14:paraId="3E74DE20"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2740" w:type="dxa"/>
            <w:tcBorders>
              <w:top w:val="nil"/>
              <w:left w:val="nil"/>
              <w:bottom w:val="nil"/>
              <w:right w:val="nil"/>
            </w:tcBorders>
            <w:vAlign w:val="bottom"/>
          </w:tcPr>
          <w:p w14:paraId="247A54C2"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9"/>
                <w:sz w:val="20"/>
                <w:szCs w:val="20"/>
              </w:rPr>
              <w:t>(0.3</w:t>
            </w:r>
            <w:r>
              <w:rPr>
                <w:rFonts w:ascii="Arial" w:hAnsi="Arial" w:cs="Arial"/>
                <w:w w:val="99"/>
                <w:sz w:val="20"/>
                <w:szCs w:val="20"/>
              </w:rPr>
              <w:t>6</w:t>
            </w:r>
            <w:r w:rsidRPr="0069565D">
              <w:rPr>
                <w:rFonts w:ascii="Arial" w:hAnsi="Arial" w:cs="Arial"/>
                <w:w w:val="99"/>
                <w:sz w:val="20"/>
                <w:szCs w:val="20"/>
              </w:rPr>
              <w:t>)</w:t>
            </w:r>
          </w:p>
        </w:tc>
        <w:tc>
          <w:tcPr>
            <w:tcW w:w="1780" w:type="dxa"/>
            <w:tcBorders>
              <w:top w:val="nil"/>
              <w:left w:val="nil"/>
              <w:bottom w:val="nil"/>
              <w:right w:val="nil"/>
            </w:tcBorders>
            <w:vAlign w:val="bottom"/>
          </w:tcPr>
          <w:p w14:paraId="041255DF"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(0.0</w:t>
            </w:r>
            <w:r>
              <w:rPr>
                <w:rFonts w:ascii="Arial" w:hAnsi="Arial" w:cs="Arial"/>
                <w:sz w:val="20"/>
                <w:szCs w:val="20"/>
              </w:rPr>
              <w:t>39</w:t>
            </w:r>
            <w:r w:rsidRPr="0069565D">
              <w:rPr>
                <w:rFonts w:ascii="Arial" w:hAnsi="Arial" w:cs="Arial"/>
                <w:sz w:val="20"/>
                <w:szCs w:val="20"/>
              </w:rPr>
              <w:t>)</w:t>
            </w:r>
          </w:p>
        </w:tc>
        <w:tc>
          <w:tcPr>
            <w:tcW w:w="20" w:type="dxa"/>
            <w:tcBorders>
              <w:top w:val="nil"/>
              <w:left w:val="nil"/>
              <w:bottom w:val="nil"/>
              <w:right w:val="nil"/>
            </w:tcBorders>
            <w:vAlign w:val="bottom"/>
          </w:tcPr>
          <w:p w14:paraId="4E74F2C0"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5618B81A" w14:textId="77777777" w:rsidTr="00992EC6">
        <w:trPr>
          <w:trHeight w:val="276"/>
        </w:trPr>
        <w:tc>
          <w:tcPr>
            <w:tcW w:w="2800" w:type="dxa"/>
            <w:tcBorders>
              <w:top w:val="nil"/>
              <w:left w:val="nil"/>
              <w:bottom w:val="nil"/>
              <w:right w:val="nil"/>
            </w:tcBorders>
            <w:vAlign w:val="bottom"/>
          </w:tcPr>
          <w:p w14:paraId="24D11D9C" w14:textId="77367FDA" w:rsidR="007A155B" w:rsidRPr="0069565D" w:rsidRDefault="007A155B" w:rsidP="00992EC6">
            <w:pPr>
              <w:widowControl w:val="0"/>
              <w:tabs>
                <w:tab w:val="left" w:pos="360"/>
                <w:tab w:val="left" w:pos="630"/>
              </w:tabs>
              <w:autoSpaceDE w:val="0"/>
              <w:autoSpaceDN w:val="0"/>
              <w:adjustRightInd w:val="0"/>
              <w:spacing w:after="0" w:line="276" w:lineRule="exact"/>
              <w:jc w:val="both"/>
              <w:rPr>
                <w:rFonts w:ascii="Arial" w:hAnsi="Arial" w:cs="Arial"/>
                <w:sz w:val="20"/>
                <w:szCs w:val="20"/>
              </w:rPr>
            </w:pPr>
            <w:r w:rsidRPr="0069565D">
              <w:rPr>
                <w:rFonts w:ascii="Arial" w:hAnsi="Arial" w:cs="Arial"/>
                <w:sz w:val="20"/>
                <w:szCs w:val="20"/>
              </w:rPr>
              <w:t>Na</w:t>
            </w:r>
            <w:r w:rsidRPr="0069565D">
              <w:rPr>
                <w:rFonts w:ascii="Arial" w:hAnsi="Arial" w:cs="Arial"/>
                <w:sz w:val="20"/>
                <w:szCs w:val="20"/>
                <w:vertAlign w:val="superscript"/>
              </w:rPr>
              <w:t>131</w:t>
            </w:r>
            <w:r w:rsidRPr="0069565D">
              <w:rPr>
                <w:rFonts w:ascii="Arial" w:hAnsi="Arial" w:cs="Arial"/>
                <w:sz w:val="20"/>
                <w:szCs w:val="20"/>
              </w:rPr>
              <w:t>I iodide</w:t>
            </w:r>
          </w:p>
        </w:tc>
        <w:tc>
          <w:tcPr>
            <w:tcW w:w="1880" w:type="dxa"/>
            <w:tcBorders>
              <w:top w:val="nil"/>
              <w:left w:val="nil"/>
              <w:bottom w:val="nil"/>
              <w:right w:val="nil"/>
            </w:tcBorders>
            <w:vAlign w:val="bottom"/>
          </w:tcPr>
          <w:p w14:paraId="05699EA6"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9"/>
                <w:sz w:val="20"/>
                <w:szCs w:val="20"/>
              </w:rPr>
              <w:t>37–148 PO</w:t>
            </w:r>
          </w:p>
        </w:tc>
        <w:tc>
          <w:tcPr>
            <w:tcW w:w="2740" w:type="dxa"/>
            <w:tcBorders>
              <w:top w:val="nil"/>
              <w:left w:val="nil"/>
              <w:bottom w:val="nil"/>
              <w:right w:val="nil"/>
            </w:tcBorders>
            <w:vAlign w:val="bottom"/>
          </w:tcPr>
          <w:p w14:paraId="3FF809E4"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0.</w:t>
            </w:r>
            <w:r>
              <w:rPr>
                <w:rFonts w:ascii="Arial" w:hAnsi="Arial" w:cs="Arial"/>
                <w:sz w:val="20"/>
                <w:szCs w:val="20"/>
              </w:rPr>
              <w:t>66</w:t>
            </w:r>
          </w:p>
        </w:tc>
        <w:tc>
          <w:tcPr>
            <w:tcW w:w="1780" w:type="dxa"/>
            <w:tcBorders>
              <w:top w:val="nil"/>
              <w:left w:val="nil"/>
              <w:bottom w:val="nil"/>
              <w:right w:val="nil"/>
            </w:tcBorders>
            <w:vAlign w:val="bottom"/>
          </w:tcPr>
          <w:p w14:paraId="29A04386"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0.</w:t>
            </w:r>
            <w:r>
              <w:rPr>
                <w:rFonts w:ascii="Arial" w:hAnsi="Arial" w:cs="Arial"/>
                <w:sz w:val="20"/>
                <w:szCs w:val="20"/>
              </w:rPr>
              <w:t>058</w:t>
            </w:r>
          </w:p>
        </w:tc>
        <w:tc>
          <w:tcPr>
            <w:tcW w:w="20" w:type="dxa"/>
            <w:tcBorders>
              <w:top w:val="nil"/>
              <w:left w:val="nil"/>
              <w:bottom w:val="nil"/>
              <w:right w:val="nil"/>
            </w:tcBorders>
            <w:vAlign w:val="bottom"/>
          </w:tcPr>
          <w:p w14:paraId="044B4167"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5DB2C58B" w14:textId="77777777" w:rsidTr="00992EC6">
        <w:trPr>
          <w:trHeight w:val="240"/>
        </w:trPr>
        <w:tc>
          <w:tcPr>
            <w:tcW w:w="2800" w:type="dxa"/>
            <w:tcBorders>
              <w:top w:val="nil"/>
              <w:left w:val="nil"/>
              <w:bottom w:val="nil"/>
              <w:right w:val="nil"/>
            </w:tcBorders>
            <w:vAlign w:val="bottom"/>
          </w:tcPr>
          <w:p w14:paraId="0D5B9351"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(0% thyroid uptake)</w:t>
            </w:r>
          </w:p>
        </w:tc>
        <w:tc>
          <w:tcPr>
            <w:tcW w:w="1880" w:type="dxa"/>
            <w:vMerge w:val="restart"/>
            <w:tcBorders>
              <w:top w:val="nil"/>
              <w:left w:val="nil"/>
              <w:bottom w:val="nil"/>
              <w:right w:val="nil"/>
            </w:tcBorders>
            <w:vAlign w:val="bottom"/>
          </w:tcPr>
          <w:p w14:paraId="0D2F440D"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4"/>
                <w:sz w:val="20"/>
                <w:szCs w:val="20"/>
              </w:rPr>
              <w:t>(1–</w:t>
            </w:r>
            <w:proofErr w:type="gramStart"/>
            <w:r w:rsidRPr="0069565D">
              <w:rPr>
                <w:rFonts w:ascii="Arial" w:hAnsi="Arial" w:cs="Arial"/>
                <w:w w:val="94"/>
                <w:sz w:val="20"/>
                <w:szCs w:val="20"/>
              </w:rPr>
              <w:t>4)</w:t>
            </w:r>
            <w:r w:rsidRPr="0069565D">
              <w:rPr>
                <w:rFonts w:ascii="Arial" w:hAnsi="Arial" w:cs="Arial"/>
                <w:w w:val="94"/>
                <w:sz w:val="20"/>
                <w:szCs w:val="20"/>
                <w:vertAlign w:val="superscript"/>
              </w:rPr>
              <w:t>c</w:t>
            </w:r>
            <w:proofErr w:type="gramEnd"/>
          </w:p>
        </w:tc>
        <w:tc>
          <w:tcPr>
            <w:tcW w:w="2740" w:type="dxa"/>
            <w:tcBorders>
              <w:top w:val="nil"/>
              <w:left w:val="nil"/>
              <w:bottom w:val="nil"/>
              <w:right w:val="nil"/>
            </w:tcBorders>
            <w:vAlign w:val="bottom"/>
          </w:tcPr>
          <w:p w14:paraId="69524DFC"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sz w:val="20"/>
                <w:szCs w:val="20"/>
              </w:rPr>
              <w:t>bladder wall</w:t>
            </w:r>
          </w:p>
        </w:tc>
        <w:tc>
          <w:tcPr>
            <w:tcW w:w="1780" w:type="dxa"/>
            <w:tcBorders>
              <w:top w:val="nil"/>
              <w:left w:val="nil"/>
              <w:bottom w:val="nil"/>
              <w:right w:val="nil"/>
            </w:tcBorders>
            <w:vAlign w:val="bottom"/>
          </w:tcPr>
          <w:p w14:paraId="15869D48"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20" w:type="dxa"/>
            <w:tcBorders>
              <w:top w:val="nil"/>
              <w:left w:val="nil"/>
              <w:bottom w:val="nil"/>
              <w:right w:val="nil"/>
            </w:tcBorders>
            <w:vAlign w:val="bottom"/>
          </w:tcPr>
          <w:p w14:paraId="684C99BD"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r w:rsidR="007A155B" w:rsidRPr="00F354FE" w14:paraId="0F199B46" w14:textId="77777777" w:rsidTr="00992EC6">
        <w:trPr>
          <w:trHeight w:val="273"/>
        </w:trPr>
        <w:tc>
          <w:tcPr>
            <w:tcW w:w="2800" w:type="dxa"/>
            <w:tcBorders>
              <w:top w:val="nil"/>
              <w:left w:val="nil"/>
              <w:bottom w:val="nil"/>
              <w:right w:val="nil"/>
            </w:tcBorders>
            <w:vAlign w:val="bottom"/>
          </w:tcPr>
          <w:p w14:paraId="2E515631"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1880" w:type="dxa"/>
            <w:vMerge/>
            <w:tcBorders>
              <w:top w:val="nil"/>
              <w:left w:val="nil"/>
              <w:bottom w:val="nil"/>
              <w:right w:val="nil"/>
            </w:tcBorders>
            <w:vAlign w:val="bottom"/>
          </w:tcPr>
          <w:p w14:paraId="01645079"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c>
          <w:tcPr>
            <w:tcW w:w="2740" w:type="dxa"/>
            <w:tcBorders>
              <w:top w:val="nil"/>
              <w:left w:val="nil"/>
              <w:bottom w:val="nil"/>
              <w:right w:val="nil"/>
            </w:tcBorders>
            <w:vAlign w:val="bottom"/>
          </w:tcPr>
          <w:p w14:paraId="006FEE0E"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9"/>
                <w:sz w:val="20"/>
                <w:szCs w:val="20"/>
              </w:rPr>
              <w:t>(</w:t>
            </w:r>
            <w:r>
              <w:rPr>
                <w:rFonts w:ascii="Arial" w:hAnsi="Arial" w:cs="Arial"/>
                <w:w w:val="99"/>
                <w:sz w:val="20"/>
                <w:szCs w:val="20"/>
              </w:rPr>
              <w:t>2.4</w:t>
            </w:r>
            <w:r w:rsidRPr="0069565D">
              <w:rPr>
                <w:rFonts w:ascii="Arial" w:hAnsi="Arial" w:cs="Arial"/>
                <w:w w:val="99"/>
                <w:sz w:val="20"/>
                <w:szCs w:val="20"/>
              </w:rPr>
              <w:t>)</w:t>
            </w:r>
          </w:p>
        </w:tc>
        <w:tc>
          <w:tcPr>
            <w:tcW w:w="1780" w:type="dxa"/>
            <w:tcBorders>
              <w:top w:val="nil"/>
              <w:left w:val="nil"/>
              <w:bottom w:val="nil"/>
              <w:right w:val="nil"/>
            </w:tcBorders>
            <w:vAlign w:val="bottom"/>
          </w:tcPr>
          <w:p w14:paraId="610C3620"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r w:rsidRPr="0069565D">
              <w:rPr>
                <w:rFonts w:ascii="Arial" w:hAnsi="Arial" w:cs="Arial"/>
                <w:w w:val="99"/>
                <w:sz w:val="20"/>
                <w:szCs w:val="20"/>
              </w:rPr>
              <w:t>(0.</w:t>
            </w:r>
            <w:r>
              <w:rPr>
                <w:rFonts w:ascii="Arial" w:hAnsi="Arial" w:cs="Arial"/>
                <w:w w:val="99"/>
                <w:sz w:val="20"/>
                <w:szCs w:val="20"/>
              </w:rPr>
              <w:t>2</w:t>
            </w:r>
            <w:r w:rsidRPr="0069565D">
              <w:rPr>
                <w:rFonts w:ascii="Arial" w:hAnsi="Arial" w:cs="Arial"/>
                <w:w w:val="99"/>
                <w:sz w:val="20"/>
                <w:szCs w:val="20"/>
              </w:rPr>
              <w:t>1)</w:t>
            </w:r>
          </w:p>
        </w:tc>
        <w:tc>
          <w:tcPr>
            <w:tcW w:w="20" w:type="dxa"/>
            <w:tcBorders>
              <w:top w:val="nil"/>
              <w:left w:val="nil"/>
              <w:bottom w:val="nil"/>
              <w:right w:val="nil"/>
            </w:tcBorders>
            <w:vAlign w:val="bottom"/>
          </w:tcPr>
          <w:p w14:paraId="2C8540F4" w14:textId="77777777" w:rsidR="007A155B" w:rsidRPr="0069565D" w:rsidRDefault="007A155B" w:rsidP="00992EC6">
            <w:pPr>
              <w:widowControl w:val="0"/>
              <w:tabs>
                <w:tab w:val="left" w:pos="360"/>
                <w:tab w:val="left" w:pos="630"/>
              </w:tabs>
              <w:autoSpaceDE w:val="0"/>
              <w:autoSpaceDN w:val="0"/>
              <w:adjustRightInd w:val="0"/>
              <w:spacing w:after="0" w:line="240" w:lineRule="auto"/>
              <w:jc w:val="both"/>
              <w:rPr>
                <w:rFonts w:ascii="Arial" w:hAnsi="Arial" w:cs="Arial"/>
                <w:sz w:val="20"/>
                <w:szCs w:val="20"/>
              </w:rPr>
            </w:pPr>
          </w:p>
        </w:tc>
      </w:tr>
    </w:tbl>
    <w:p w14:paraId="0BD5A905" w14:textId="09EAAFC2" w:rsidR="007A155B" w:rsidRPr="0069565D" w:rsidRDefault="007A155B" w:rsidP="00945B1B">
      <w:pPr>
        <w:widowControl w:val="0"/>
        <w:tabs>
          <w:tab w:val="left" w:pos="360"/>
          <w:tab w:val="left" w:pos="630"/>
          <w:tab w:val="left" w:pos="720"/>
          <w:tab w:val="left" w:pos="1080"/>
          <w:tab w:val="left" w:pos="1440"/>
          <w:tab w:val="left" w:pos="1800"/>
        </w:tabs>
        <w:autoSpaceDE w:val="0"/>
        <w:autoSpaceDN w:val="0"/>
        <w:adjustRightInd w:val="0"/>
        <w:spacing w:after="0" w:line="240" w:lineRule="auto"/>
        <w:jc w:val="center"/>
        <w:rPr>
          <w:rFonts w:ascii="Arial" w:hAnsi="Arial" w:cs="Arial"/>
          <w:b/>
          <w:sz w:val="20"/>
          <w:szCs w:val="20"/>
        </w:rPr>
        <w:sectPr w:rsidR="007A155B" w:rsidRPr="0069565D" w:rsidSect="00F354FE">
          <w:type w:val="continuous"/>
          <w:pgSz w:w="12240" w:h="15840"/>
          <w:pgMar w:top="1440" w:right="1440" w:bottom="1440" w:left="1440" w:header="720" w:footer="720" w:gutter="0"/>
          <w:cols w:space="720"/>
          <w:noEndnote/>
          <w:docGrid w:linePitch="299"/>
        </w:sectPr>
      </w:pPr>
    </w:p>
    <w:p w14:paraId="1EC1D7B2" w14:textId="77777777" w:rsidR="00945B1B" w:rsidRPr="00F354FE" w:rsidRDefault="00945B1B" w:rsidP="00945B1B">
      <w:pPr>
        <w:widowControl w:val="0"/>
        <w:tabs>
          <w:tab w:val="left" w:pos="360"/>
          <w:tab w:val="left" w:pos="630"/>
          <w:tab w:val="left" w:pos="720"/>
          <w:tab w:val="left" w:pos="1080"/>
          <w:tab w:val="left" w:pos="1440"/>
          <w:tab w:val="left" w:pos="1800"/>
        </w:tabs>
        <w:autoSpaceDE w:val="0"/>
        <w:autoSpaceDN w:val="0"/>
        <w:adjustRightInd w:val="0"/>
        <w:spacing w:after="0" w:line="240" w:lineRule="auto"/>
        <w:jc w:val="both"/>
        <w:rPr>
          <w:rFonts w:ascii="Arial" w:hAnsi="Arial" w:cs="Arial"/>
          <w:sz w:val="20"/>
          <w:szCs w:val="20"/>
        </w:rPr>
        <w:sectPr w:rsidR="00945B1B" w:rsidRPr="00F354FE" w:rsidSect="00F354FE">
          <w:type w:val="continuous"/>
          <w:pgSz w:w="12240" w:h="15840"/>
          <w:pgMar w:top="1440" w:right="1440" w:bottom="1440" w:left="1440" w:header="720" w:footer="720" w:gutter="0"/>
          <w:cols w:space="720"/>
          <w:noEndnote/>
          <w:docGrid w:linePitch="299"/>
        </w:sectPr>
      </w:pPr>
    </w:p>
    <w:p w14:paraId="30E91CD5" w14:textId="77D3D695" w:rsidR="00130832" w:rsidRDefault="00233C66" w:rsidP="00945B1B">
      <w:pPr>
        <w:widowControl w:val="0"/>
        <w:numPr>
          <w:ilvl w:val="0"/>
          <w:numId w:val="2"/>
        </w:numPr>
        <w:tabs>
          <w:tab w:val="clear" w:pos="720"/>
          <w:tab w:val="left" w:pos="360"/>
          <w:tab w:val="left" w:pos="630"/>
        </w:tabs>
        <w:overflowPunct w:val="0"/>
        <w:autoSpaceDE w:val="0"/>
        <w:autoSpaceDN w:val="0"/>
        <w:adjustRightInd w:val="0"/>
        <w:spacing w:after="0" w:line="230" w:lineRule="auto"/>
        <w:ind w:left="0" w:right="-90" w:firstLine="0"/>
        <w:jc w:val="both"/>
        <w:rPr>
          <w:rFonts w:ascii="Arial" w:hAnsi="Arial" w:cs="Arial"/>
          <w:sz w:val="16"/>
          <w:szCs w:val="16"/>
        </w:rPr>
      </w:pPr>
      <w:hyperlink r:id="rId11" w:history="1">
        <w:r w:rsidR="00130832" w:rsidRPr="00130832">
          <w:rPr>
            <w:rStyle w:val="Hyperlink"/>
            <w:rFonts w:ascii="Arial" w:hAnsi="Arial" w:cs="Arial"/>
            <w:color w:val="auto"/>
            <w:sz w:val="16"/>
            <w:szCs w:val="16"/>
            <w:u w:val="none"/>
          </w:rPr>
          <w:t>https://www.doseinfo-radar.com</w:t>
        </w:r>
      </w:hyperlink>
      <w:r w:rsidR="00130832" w:rsidRPr="00130832">
        <w:rPr>
          <w:rFonts w:ascii="Arial" w:hAnsi="Arial" w:cs="Arial"/>
          <w:sz w:val="16"/>
          <w:szCs w:val="16"/>
        </w:rPr>
        <w:t xml:space="preserve">  Accessed</w:t>
      </w:r>
      <w:r w:rsidR="00130832">
        <w:rPr>
          <w:rFonts w:ascii="Arial" w:hAnsi="Arial" w:cs="Arial"/>
          <w:sz w:val="16"/>
          <w:szCs w:val="16"/>
        </w:rPr>
        <w:t xml:space="preserve"> 6-16-19.</w:t>
      </w:r>
    </w:p>
    <w:p w14:paraId="14DBF9C2" w14:textId="067756D7" w:rsidR="00130832" w:rsidRPr="00130832" w:rsidRDefault="00130832" w:rsidP="00945B1B">
      <w:pPr>
        <w:widowControl w:val="0"/>
        <w:numPr>
          <w:ilvl w:val="0"/>
          <w:numId w:val="2"/>
        </w:numPr>
        <w:tabs>
          <w:tab w:val="clear" w:pos="720"/>
          <w:tab w:val="left" w:pos="360"/>
          <w:tab w:val="left" w:pos="630"/>
        </w:tabs>
        <w:overflowPunct w:val="0"/>
        <w:autoSpaceDE w:val="0"/>
        <w:autoSpaceDN w:val="0"/>
        <w:adjustRightInd w:val="0"/>
        <w:spacing w:after="0" w:line="230" w:lineRule="auto"/>
        <w:ind w:left="0" w:right="-90" w:firstLine="0"/>
        <w:jc w:val="both"/>
        <w:rPr>
          <w:rFonts w:ascii="Arial" w:hAnsi="Arial" w:cs="Arial"/>
          <w:sz w:val="16"/>
          <w:szCs w:val="16"/>
        </w:rPr>
      </w:pPr>
      <w:r w:rsidRPr="00130832">
        <w:rPr>
          <w:rFonts w:ascii="Arial" w:hAnsi="Arial" w:cs="Arial"/>
          <w:sz w:val="16"/>
          <w:szCs w:val="16"/>
        </w:rPr>
        <w:t xml:space="preserve">International Commission on Radiological Protection. Radiation Doses to Patients from Radiopharmaceuticals. </w:t>
      </w:r>
      <w:r>
        <w:rPr>
          <w:rFonts w:ascii="Arial" w:hAnsi="Arial" w:cs="Arial"/>
          <w:sz w:val="16"/>
          <w:szCs w:val="16"/>
        </w:rPr>
        <w:t>Elsevier. 2008.</w:t>
      </w:r>
    </w:p>
    <w:p w14:paraId="09EB6E2E" w14:textId="68C3EA75" w:rsidR="00945B1B" w:rsidRPr="00130832" w:rsidRDefault="00945B1B" w:rsidP="00130832">
      <w:pPr>
        <w:widowControl w:val="0"/>
        <w:numPr>
          <w:ilvl w:val="0"/>
          <w:numId w:val="2"/>
        </w:numPr>
        <w:tabs>
          <w:tab w:val="clear" w:pos="720"/>
          <w:tab w:val="left" w:pos="360"/>
          <w:tab w:val="left" w:pos="630"/>
        </w:tabs>
        <w:overflowPunct w:val="0"/>
        <w:autoSpaceDE w:val="0"/>
        <w:autoSpaceDN w:val="0"/>
        <w:adjustRightInd w:val="0"/>
        <w:spacing w:after="0" w:line="230" w:lineRule="auto"/>
        <w:ind w:left="0" w:right="-90" w:firstLine="0"/>
        <w:jc w:val="both"/>
        <w:rPr>
          <w:rFonts w:ascii="Arial" w:hAnsi="Arial" w:cs="Arial"/>
          <w:sz w:val="16"/>
          <w:szCs w:val="16"/>
        </w:rPr>
      </w:pPr>
      <w:r w:rsidRPr="0069565D">
        <w:rPr>
          <w:rFonts w:ascii="Arial" w:hAnsi="Arial" w:cs="Arial"/>
          <w:sz w:val="16"/>
          <w:szCs w:val="16"/>
          <w:lang w:val="fr-FR"/>
        </w:rPr>
        <w:t xml:space="preserve">Delbeke D, Coleman RE, </w:t>
      </w:r>
      <w:proofErr w:type="spellStart"/>
      <w:r w:rsidRPr="0069565D">
        <w:rPr>
          <w:rFonts w:ascii="Arial" w:hAnsi="Arial" w:cs="Arial"/>
          <w:sz w:val="16"/>
          <w:szCs w:val="16"/>
          <w:lang w:val="fr-FR"/>
        </w:rPr>
        <w:t>Guiberteau</w:t>
      </w:r>
      <w:proofErr w:type="spellEnd"/>
      <w:r w:rsidRPr="0069565D">
        <w:rPr>
          <w:rFonts w:ascii="Arial" w:hAnsi="Arial" w:cs="Arial"/>
          <w:sz w:val="16"/>
          <w:szCs w:val="16"/>
          <w:lang w:val="fr-FR"/>
        </w:rPr>
        <w:t xml:space="preserve"> MJ, et al. </w:t>
      </w:r>
      <w:bookmarkStart w:id="7" w:name="_Hlk11622154"/>
      <w:r w:rsidRPr="0069565D">
        <w:rPr>
          <w:rFonts w:ascii="Arial" w:hAnsi="Arial" w:cs="Arial"/>
          <w:sz w:val="16"/>
          <w:szCs w:val="16"/>
        </w:rPr>
        <w:t xml:space="preserve">Procedure guideline for tumor imaging with </w:t>
      </w:r>
      <w:r w:rsidRPr="0069565D">
        <w:rPr>
          <w:rFonts w:ascii="Arial" w:hAnsi="Arial" w:cs="Arial"/>
          <w:sz w:val="16"/>
          <w:szCs w:val="16"/>
          <w:vertAlign w:val="superscript"/>
        </w:rPr>
        <w:t>18</w:t>
      </w:r>
      <w:r w:rsidRPr="0069565D">
        <w:rPr>
          <w:rFonts w:ascii="Arial" w:hAnsi="Arial" w:cs="Arial"/>
          <w:sz w:val="16"/>
          <w:szCs w:val="16"/>
        </w:rPr>
        <w:t xml:space="preserve">F-FDG PET/CT </w:t>
      </w:r>
      <w:bookmarkEnd w:id="7"/>
      <w:r w:rsidRPr="0069565D">
        <w:rPr>
          <w:rFonts w:ascii="Arial" w:hAnsi="Arial" w:cs="Arial"/>
          <w:sz w:val="16"/>
          <w:szCs w:val="16"/>
        </w:rPr>
        <w:t xml:space="preserve">1.0. </w:t>
      </w:r>
      <w:r w:rsidRPr="0069565D">
        <w:rPr>
          <w:rFonts w:ascii="Arial" w:hAnsi="Arial" w:cs="Arial"/>
          <w:i/>
          <w:iCs/>
          <w:sz w:val="16"/>
          <w:szCs w:val="16"/>
        </w:rPr>
        <w:t xml:space="preserve">J </w:t>
      </w:r>
      <w:proofErr w:type="spellStart"/>
      <w:r w:rsidRPr="0069565D">
        <w:rPr>
          <w:rFonts w:ascii="Arial" w:hAnsi="Arial" w:cs="Arial"/>
          <w:i/>
          <w:iCs/>
          <w:sz w:val="16"/>
          <w:szCs w:val="16"/>
        </w:rPr>
        <w:t>Nucl</w:t>
      </w:r>
      <w:proofErr w:type="spellEnd"/>
      <w:r w:rsidRPr="0069565D">
        <w:rPr>
          <w:rFonts w:ascii="Arial" w:hAnsi="Arial" w:cs="Arial"/>
          <w:i/>
          <w:iCs/>
          <w:sz w:val="16"/>
          <w:szCs w:val="16"/>
        </w:rPr>
        <w:t xml:space="preserve"> Med</w:t>
      </w:r>
      <w:r w:rsidRPr="0069565D">
        <w:rPr>
          <w:rFonts w:ascii="Arial" w:hAnsi="Arial" w:cs="Arial"/>
          <w:sz w:val="16"/>
          <w:szCs w:val="16"/>
        </w:rPr>
        <w:t xml:space="preserve"> </w:t>
      </w:r>
      <w:proofErr w:type="gramStart"/>
      <w:r w:rsidRPr="0069565D">
        <w:rPr>
          <w:rFonts w:ascii="Arial" w:hAnsi="Arial" w:cs="Arial"/>
          <w:sz w:val="16"/>
          <w:szCs w:val="16"/>
        </w:rPr>
        <w:t>2006;47:885</w:t>
      </w:r>
      <w:proofErr w:type="gramEnd"/>
      <w:r w:rsidRPr="0069565D">
        <w:rPr>
          <w:rFonts w:ascii="Arial" w:hAnsi="Arial" w:cs="Arial"/>
          <w:sz w:val="16"/>
          <w:szCs w:val="16"/>
        </w:rPr>
        <w:t xml:space="preserve">–895. </w:t>
      </w:r>
    </w:p>
    <w:sectPr w:rsidR="00945B1B" w:rsidRPr="00130832" w:rsidSect="002369BD">
      <w:type w:val="continuous"/>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509"/>
    <w:multiLevelType w:val="hybridMultilevel"/>
    <w:tmpl w:val="00001238"/>
    <w:lvl w:ilvl="0" w:tplc="00003B25">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0025E"/>
    <w:multiLevelType w:val="hybridMultilevel"/>
    <w:tmpl w:val="674C5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E2948"/>
    <w:multiLevelType w:val="hybridMultilevel"/>
    <w:tmpl w:val="9DFA1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70470"/>
    <w:multiLevelType w:val="hybridMultilevel"/>
    <w:tmpl w:val="DE6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F0B5D"/>
    <w:multiLevelType w:val="hybridMultilevel"/>
    <w:tmpl w:val="CEE810D4"/>
    <w:lvl w:ilvl="0" w:tplc="123867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07034"/>
    <w:multiLevelType w:val="hybridMultilevel"/>
    <w:tmpl w:val="871A9186"/>
    <w:lvl w:ilvl="0" w:tplc="4CFAA090">
      <w:start w:val="1"/>
      <w:numFmt w:val="upperLetter"/>
      <w:lvlText w:val="%1."/>
      <w:lvlJc w:val="left"/>
      <w:pPr>
        <w:ind w:left="720" w:hanging="360"/>
      </w:pPr>
    </w:lvl>
    <w:lvl w:ilvl="1" w:tplc="26D29286">
      <w:start w:val="1"/>
      <w:numFmt w:val="lowerLetter"/>
      <w:lvlText w:val="%2."/>
      <w:lvlJc w:val="left"/>
      <w:pPr>
        <w:ind w:left="1440" w:hanging="360"/>
      </w:pPr>
    </w:lvl>
    <w:lvl w:ilvl="2" w:tplc="825C7A2C">
      <w:start w:val="1"/>
      <w:numFmt w:val="lowerRoman"/>
      <w:lvlText w:val="%3."/>
      <w:lvlJc w:val="right"/>
      <w:pPr>
        <w:ind w:left="2160" w:hanging="180"/>
      </w:pPr>
    </w:lvl>
    <w:lvl w:ilvl="3" w:tplc="85DE3BE6">
      <w:start w:val="1"/>
      <w:numFmt w:val="decimal"/>
      <w:lvlText w:val="%4."/>
      <w:lvlJc w:val="left"/>
      <w:pPr>
        <w:ind w:left="2880" w:hanging="360"/>
      </w:pPr>
    </w:lvl>
    <w:lvl w:ilvl="4" w:tplc="788E7FC2">
      <w:start w:val="1"/>
      <w:numFmt w:val="lowerLetter"/>
      <w:lvlText w:val="%5."/>
      <w:lvlJc w:val="left"/>
      <w:pPr>
        <w:ind w:left="3600" w:hanging="360"/>
      </w:pPr>
    </w:lvl>
    <w:lvl w:ilvl="5" w:tplc="DC402BA4">
      <w:start w:val="1"/>
      <w:numFmt w:val="lowerRoman"/>
      <w:lvlText w:val="%6."/>
      <w:lvlJc w:val="right"/>
      <w:pPr>
        <w:ind w:left="4320" w:hanging="180"/>
      </w:pPr>
    </w:lvl>
    <w:lvl w:ilvl="6" w:tplc="97A8889C">
      <w:start w:val="1"/>
      <w:numFmt w:val="decimal"/>
      <w:lvlText w:val="%7."/>
      <w:lvlJc w:val="left"/>
      <w:pPr>
        <w:ind w:left="5040" w:hanging="360"/>
      </w:pPr>
    </w:lvl>
    <w:lvl w:ilvl="7" w:tplc="4D9A93B0">
      <w:start w:val="1"/>
      <w:numFmt w:val="lowerLetter"/>
      <w:lvlText w:val="%8."/>
      <w:lvlJc w:val="left"/>
      <w:pPr>
        <w:ind w:left="5760" w:hanging="360"/>
      </w:pPr>
    </w:lvl>
    <w:lvl w:ilvl="8" w:tplc="370AD3FA">
      <w:start w:val="1"/>
      <w:numFmt w:val="lowerRoman"/>
      <w:lvlText w:val="%9."/>
      <w:lvlJc w:val="right"/>
      <w:pPr>
        <w:ind w:left="6480" w:hanging="180"/>
      </w:pPr>
    </w:lvl>
  </w:abstractNum>
  <w:abstractNum w:abstractNumId="7" w15:restartNumberingAfterBreak="0">
    <w:nsid w:val="10D57D7B"/>
    <w:multiLevelType w:val="hybridMultilevel"/>
    <w:tmpl w:val="5CD25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B4AF1"/>
    <w:multiLevelType w:val="hybridMultilevel"/>
    <w:tmpl w:val="9E2C9D2A"/>
    <w:lvl w:ilvl="0" w:tplc="9C1A1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06965"/>
    <w:multiLevelType w:val="hybridMultilevel"/>
    <w:tmpl w:val="0F9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20BC4"/>
    <w:multiLevelType w:val="hybridMultilevel"/>
    <w:tmpl w:val="029E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211C5"/>
    <w:multiLevelType w:val="hybridMultilevel"/>
    <w:tmpl w:val="EC0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D417C"/>
    <w:multiLevelType w:val="hybridMultilevel"/>
    <w:tmpl w:val="C5C8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123FC"/>
    <w:multiLevelType w:val="hybridMultilevel"/>
    <w:tmpl w:val="4126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D1363"/>
    <w:multiLevelType w:val="hybridMultilevel"/>
    <w:tmpl w:val="2CB48534"/>
    <w:lvl w:ilvl="0" w:tplc="B63006CC">
      <w:start w:val="3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5F2BC0"/>
    <w:multiLevelType w:val="hybridMultilevel"/>
    <w:tmpl w:val="4A4A6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8864EF"/>
    <w:multiLevelType w:val="hybridMultilevel"/>
    <w:tmpl w:val="673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357DE"/>
    <w:multiLevelType w:val="hybridMultilevel"/>
    <w:tmpl w:val="6D42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E3E34"/>
    <w:multiLevelType w:val="hybridMultilevel"/>
    <w:tmpl w:val="151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5"/>
  </w:num>
  <w:num w:numId="5">
    <w:abstractNumId w:val="13"/>
  </w:num>
  <w:num w:numId="6">
    <w:abstractNumId w:val="2"/>
  </w:num>
  <w:num w:numId="7">
    <w:abstractNumId w:val="5"/>
  </w:num>
  <w:num w:numId="8">
    <w:abstractNumId w:val="18"/>
  </w:num>
  <w:num w:numId="9">
    <w:abstractNumId w:val="11"/>
  </w:num>
  <w:num w:numId="10">
    <w:abstractNumId w:val="4"/>
  </w:num>
  <w:num w:numId="11">
    <w:abstractNumId w:val="12"/>
  </w:num>
  <w:num w:numId="12">
    <w:abstractNumId w:val="3"/>
  </w:num>
  <w:num w:numId="13">
    <w:abstractNumId w:val="17"/>
  </w:num>
  <w:num w:numId="14">
    <w:abstractNumId w:val="9"/>
  </w:num>
  <w:num w:numId="15">
    <w:abstractNumId w:val="10"/>
  </w:num>
  <w:num w:numId="16">
    <w:abstractNumId w:val="16"/>
  </w:num>
  <w:num w:numId="17">
    <w:abstractNumId w:val="7"/>
  </w:num>
  <w:num w:numId="18">
    <w:abstractNumId w:val="8"/>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502"/>
    <w:rsid w:val="0000167F"/>
    <w:rsid w:val="00001D6C"/>
    <w:rsid w:val="000024D0"/>
    <w:rsid w:val="00002C98"/>
    <w:rsid w:val="000056A3"/>
    <w:rsid w:val="00006469"/>
    <w:rsid w:val="000064A1"/>
    <w:rsid w:val="0001031C"/>
    <w:rsid w:val="000114DB"/>
    <w:rsid w:val="0001511F"/>
    <w:rsid w:val="00015AA8"/>
    <w:rsid w:val="00020694"/>
    <w:rsid w:val="0002188F"/>
    <w:rsid w:val="00022CED"/>
    <w:rsid w:val="00022FC7"/>
    <w:rsid w:val="000254D3"/>
    <w:rsid w:val="00026F12"/>
    <w:rsid w:val="00032699"/>
    <w:rsid w:val="00032F40"/>
    <w:rsid w:val="00033C62"/>
    <w:rsid w:val="00033F6B"/>
    <w:rsid w:val="0003478B"/>
    <w:rsid w:val="000354D6"/>
    <w:rsid w:val="00042928"/>
    <w:rsid w:val="000436DB"/>
    <w:rsid w:val="00045004"/>
    <w:rsid w:val="0004737D"/>
    <w:rsid w:val="00050DAA"/>
    <w:rsid w:val="00055516"/>
    <w:rsid w:val="000571CF"/>
    <w:rsid w:val="00057EFF"/>
    <w:rsid w:val="000602DC"/>
    <w:rsid w:val="00060C6F"/>
    <w:rsid w:val="0006130B"/>
    <w:rsid w:val="000631B4"/>
    <w:rsid w:val="000640A5"/>
    <w:rsid w:val="00067E7B"/>
    <w:rsid w:val="00070268"/>
    <w:rsid w:val="000733F0"/>
    <w:rsid w:val="0007386F"/>
    <w:rsid w:val="00074962"/>
    <w:rsid w:val="00076339"/>
    <w:rsid w:val="00077959"/>
    <w:rsid w:val="000801B9"/>
    <w:rsid w:val="0008041C"/>
    <w:rsid w:val="000804CF"/>
    <w:rsid w:val="00080E83"/>
    <w:rsid w:val="000831C1"/>
    <w:rsid w:val="00084C67"/>
    <w:rsid w:val="000855FF"/>
    <w:rsid w:val="00085969"/>
    <w:rsid w:val="00085F2D"/>
    <w:rsid w:val="0009181F"/>
    <w:rsid w:val="00093060"/>
    <w:rsid w:val="000939B1"/>
    <w:rsid w:val="00094C30"/>
    <w:rsid w:val="000A048A"/>
    <w:rsid w:val="000A393A"/>
    <w:rsid w:val="000A3D8F"/>
    <w:rsid w:val="000A41E7"/>
    <w:rsid w:val="000A44A7"/>
    <w:rsid w:val="000A46D3"/>
    <w:rsid w:val="000A5E12"/>
    <w:rsid w:val="000A5FE1"/>
    <w:rsid w:val="000A77A0"/>
    <w:rsid w:val="000B1374"/>
    <w:rsid w:val="000B2461"/>
    <w:rsid w:val="000B2D95"/>
    <w:rsid w:val="000B4022"/>
    <w:rsid w:val="000B46C5"/>
    <w:rsid w:val="000B4ACA"/>
    <w:rsid w:val="000C1B88"/>
    <w:rsid w:val="000C2775"/>
    <w:rsid w:val="000C61BD"/>
    <w:rsid w:val="000C662E"/>
    <w:rsid w:val="000D16B0"/>
    <w:rsid w:val="000D3496"/>
    <w:rsid w:val="000D3B5B"/>
    <w:rsid w:val="000D4321"/>
    <w:rsid w:val="000D6512"/>
    <w:rsid w:val="000D7CFA"/>
    <w:rsid w:val="000E0A60"/>
    <w:rsid w:val="000E1B1D"/>
    <w:rsid w:val="000E28F3"/>
    <w:rsid w:val="000E3628"/>
    <w:rsid w:val="000E542E"/>
    <w:rsid w:val="000E5CD3"/>
    <w:rsid w:val="000E6000"/>
    <w:rsid w:val="000F058E"/>
    <w:rsid w:val="000F4B79"/>
    <w:rsid w:val="001036DC"/>
    <w:rsid w:val="00103E7B"/>
    <w:rsid w:val="00104364"/>
    <w:rsid w:val="00105185"/>
    <w:rsid w:val="001072FF"/>
    <w:rsid w:val="00107DF5"/>
    <w:rsid w:val="00111E89"/>
    <w:rsid w:val="00112A70"/>
    <w:rsid w:val="00115672"/>
    <w:rsid w:val="00115A2D"/>
    <w:rsid w:val="00117352"/>
    <w:rsid w:val="00120625"/>
    <w:rsid w:val="00120E60"/>
    <w:rsid w:val="001221B7"/>
    <w:rsid w:val="00123656"/>
    <w:rsid w:val="00123AFA"/>
    <w:rsid w:val="00130832"/>
    <w:rsid w:val="0013143E"/>
    <w:rsid w:val="001319FE"/>
    <w:rsid w:val="00133D89"/>
    <w:rsid w:val="00136823"/>
    <w:rsid w:val="00140404"/>
    <w:rsid w:val="00146F4B"/>
    <w:rsid w:val="00146FED"/>
    <w:rsid w:val="0014716D"/>
    <w:rsid w:val="001519C5"/>
    <w:rsid w:val="001526C9"/>
    <w:rsid w:val="00153739"/>
    <w:rsid w:val="0015396A"/>
    <w:rsid w:val="001541E2"/>
    <w:rsid w:val="00155686"/>
    <w:rsid w:val="00157E32"/>
    <w:rsid w:val="00165813"/>
    <w:rsid w:val="0016587B"/>
    <w:rsid w:val="00166896"/>
    <w:rsid w:val="00166EF0"/>
    <w:rsid w:val="001671EB"/>
    <w:rsid w:val="00167226"/>
    <w:rsid w:val="00173272"/>
    <w:rsid w:val="001736A0"/>
    <w:rsid w:val="00173904"/>
    <w:rsid w:val="001741B8"/>
    <w:rsid w:val="00174318"/>
    <w:rsid w:val="001848B9"/>
    <w:rsid w:val="00187890"/>
    <w:rsid w:val="00191CD8"/>
    <w:rsid w:val="00193FF7"/>
    <w:rsid w:val="00197344"/>
    <w:rsid w:val="001A2961"/>
    <w:rsid w:val="001A3937"/>
    <w:rsid w:val="001A6F5D"/>
    <w:rsid w:val="001B016A"/>
    <w:rsid w:val="001B03DB"/>
    <w:rsid w:val="001B0F41"/>
    <w:rsid w:val="001B4126"/>
    <w:rsid w:val="001B4ADB"/>
    <w:rsid w:val="001B4B74"/>
    <w:rsid w:val="001B602B"/>
    <w:rsid w:val="001B64D2"/>
    <w:rsid w:val="001B702E"/>
    <w:rsid w:val="001C5E17"/>
    <w:rsid w:val="001D05E3"/>
    <w:rsid w:val="001D2AF4"/>
    <w:rsid w:val="001D4650"/>
    <w:rsid w:val="001D7861"/>
    <w:rsid w:val="001D7BA7"/>
    <w:rsid w:val="001E119F"/>
    <w:rsid w:val="001E2195"/>
    <w:rsid w:val="001E2957"/>
    <w:rsid w:val="001E2CF9"/>
    <w:rsid w:val="001E3CEE"/>
    <w:rsid w:val="001E67E3"/>
    <w:rsid w:val="001F0B4D"/>
    <w:rsid w:val="001F2296"/>
    <w:rsid w:val="001F50EA"/>
    <w:rsid w:val="001F5AA4"/>
    <w:rsid w:val="001F6262"/>
    <w:rsid w:val="001F7235"/>
    <w:rsid w:val="00200ED0"/>
    <w:rsid w:val="002014F8"/>
    <w:rsid w:val="00201E6E"/>
    <w:rsid w:val="00202E47"/>
    <w:rsid w:val="002048E7"/>
    <w:rsid w:val="0020574E"/>
    <w:rsid w:val="002066B4"/>
    <w:rsid w:val="00206FB3"/>
    <w:rsid w:val="00207FCE"/>
    <w:rsid w:val="00215FE9"/>
    <w:rsid w:val="002165E5"/>
    <w:rsid w:val="00217E28"/>
    <w:rsid w:val="00220B59"/>
    <w:rsid w:val="00222BFA"/>
    <w:rsid w:val="0022447A"/>
    <w:rsid w:val="002250C3"/>
    <w:rsid w:val="002256F8"/>
    <w:rsid w:val="00232BDE"/>
    <w:rsid w:val="002338FB"/>
    <w:rsid w:val="00233C66"/>
    <w:rsid w:val="002369BD"/>
    <w:rsid w:val="00236B85"/>
    <w:rsid w:val="00236E35"/>
    <w:rsid w:val="0024088B"/>
    <w:rsid w:val="00241335"/>
    <w:rsid w:val="002414E7"/>
    <w:rsid w:val="002417C3"/>
    <w:rsid w:val="0024323F"/>
    <w:rsid w:val="00246EA7"/>
    <w:rsid w:val="0025067F"/>
    <w:rsid w:val="00251CC7"/>
    <w:rsid w:val="00251FD7"/>
    <w:rsid w:val="00252678"/>
    <w:rsid w:val="00254241"/>
    <w:rsid w:val="0025559B"/>
    <w:rsid w:val="00256554"/>
    <w:rsid w:val="00256ED5"/>
    <w:rsid w:val="00261809"/>
    <w:rsid w:val="002631F6"/>
    <w:rsid w:val="0026400E"/>
    <w:rsid w:val="00264513"/>
    <w:rsid w:val="002664B2"/>
    <w:rsid w:val="002675CC"/>
    <w:rsid w:val="002713EF"/>
    <w:rsid w:val="00275F3E"/>
    <w:rsid w:val="00276785"/>
    <w:rsid w:val="00276F34"/>
    <w:rsid w:val="00277DDA"/>
    <w:rsid w:val="0028172B"/>
    <w:rsid w:val="00281D13"/>
    <w:rsid w:val="002824D9"/>
    <w:rsid w:val="0028288D"/>
    <w:rsid w:val="002843AB"/>
    <w:rsid w:val="00292D0A"/>
    <w:rsid w:val="00293579"/>
    <w:rsid w:val="0029751E"/>
    <w:rsid w:val="002A042F"/>
    <w:rsid w:val="002A3194"/>
    <w:rsid w:val="002A35C8"/>
    <w:rsid w:val="002A4A74"/>
    <w:rsid w:val="002A4E3E"/>
    <w:rsid w:val="002A5DA4"/>
    <w:rsid w:val="002A75AE"/>
    <w:rsid w:val="002A7698"/>
    <w:rsid w:val="002B1820"/>
    <w:rsid w:val="002B1D3B"/>
    <w:rsid w:val="002B24C4"/>
    <w:rsid w:val="002B51CB"/>
    <w:rsid w:val="002B6B2D"/>
    <w:rsid w:val="002B7CC6"/>
    <w:rsid w:val="002C51F1"/>
    <w:rsid w:val="002C5A87"/>
    <w:rsid w:val="002C5AFD"/>
    <w:rsid w:val="002C6BC2"/>
    <w:rsid w:val="002D0D6B"/>
    <w:rsid w:val="002D12BD"/>
    <w:rsid w:val="002D2E42"/>
    <w:rsid w:val="002D3288"/>
    <w:rsid w:val="002D45E3"/>
    <w:rsid w:val="002D7060"/>
    <w:rsid w:val="002D7415"/>
    <w:rsid w:val="002E31E0"/>
    <w:rsid w:val="002E3E6F"/>
    <w:rsid w:val="002F0879"/>
    <w:rsid w:val="002F13CB"/>
    <w:rsid w:val="002F61ED"/>
    <w:rsid w:val="002F71C2"/>
    <w:rsid w:val="002F724F"/>
    <w:rsid w:val="003020EC"/>
    <w:rsid w:val="00302DA1"/>
    <w:rsid w:val="00304083"/>
    <w:rsid w:val="00304C1D"/>
    <w:rsid w:val="00304CA5"/>
    <w:rsid w:val="00306679"/>
    <w:rsid w:val="0030737F"/>
    <w:rsid w:val="00310E46"/>
    <w:rsid w:val="00313A6C"/>
    <w:rsid w:val="00313D11"/>
    <w:rsid w:val="00315373"/>
    <w:rsid w:val="00315702"/>
    <w:rsid w:val="00315EF5"/>
    <w:rsid w:val="00316674"/>
    <w:rsid w:val="00316730"/>
    <w:rsid w:val="00317E1F"/>
    <w:rsid w:val="00320459"/>
    <w:rsid w:val="00320E28"/>
    <w:rsid w:val="00324157"/>
    <w:rsid w:val="00324660"/>
    <w:rsid w:val="00327913"/>
    <w:rsid w:val="00333333"/>
    <w:rsid w:val="00334FE7"/>
    <w:rsid w:val="00336BEC"/>
    <w:rsid w:val="00340152"/>
    <w:rsid w:val="003412F0"/>
    <w:rsid w:val="00343051"/>
    <w:rsid w:val="00344B60"/>
    <w:rsid w:val="003451B0"/>
    <w:rsid w:val="00346E2A"/>
    <w:rsid w:val="00353331"/>
    <w:rsid w:val="00354924"/>
    <w:rsid w:val="003568BD"/>
    <w:rsid w:val="00357162"/>
    <w:rsid w:val="0036009A"/>
    <w:rsid w:val="00361908"/>
    <w:rsid w:val="0036202D"/>
    <w:rsid w:val="0036408F"/>
    <w:rsid w:val="00365B66"/>
    <w:rsid w:val="00372C19"/>
    <w:rsid w:val="00384DEB"/>
    <w:rsid w:val="003861FC"/>
    <w:rsid w:val="00386F31"/>
    <w:rsid w:val="00393971"/>
    <w:rsid w:val="003941D9"/>
    <w:rsid w:val="00394D64"/>
    <w:rsid w:val="00394EBE"/>
    <w:rsid w:val="003953F1"/>
    <w:rsid w:val="00395ECA"/>
    <w:rsid w:val="00396284"/>
    <w:rsid w:val="003A07C3"/>
    <w:rsid w:val="003A0E38"/>
    <w:rsid w:val="003A1E0C"/>
    <w:rsid w:val="003A33B0"/>
    <w:rsid w:val="003A3F63"/>
    <w:rsid w:val="003A4531"/>
    <w:rsid w:val="003A48EB"/>
    <w:rsid w:val="003A581D"/>
    <w:rsid w:val="003A5DB8"/>
    <w:rsid w:val="003A5E35"/>
    <w:rsid w:val="003B0AF6"/>
    <w:rsid w:val="003B2B53"/>
    <w:rsid w:val="003B3160"/>
    <w:rsid w:val="003B752D"/>
    <w:rsid w:val="003B7D34"/>
    <w:rsid w:val="003C08D6"/>
    <w:rsid w:val="003C0E4E"/>
    <w:rsid w:val="003C1105"/>
    <w:rsid w:val="003C6B90"/>
    <w:rsid w:val="003D26C2"/>
    <w:rsid w:val="003D2D17"/>
    <w:rsid w:val="003D3EB6"/>
    <w:rsid w:val="003D3ED1"/>
    <w:rsid w:val="003D56F7"/>
    <w:rsid w:val="003D793D"/>
    <w:rsid w:val="003E01EB"/>
    <w:rsid w:val="003E0B99"/>
    <w:rsid w:val="003E31B0"/>
    <w:rsid w:val="003E4216"/>
    <w:rsid w:val="003E5F0C"/>
    <w:rsid w:val="003F0805"/>
    <w:rsid w:val="003F0B5B"/>
    <w:rsid w:val="003F1A7A"/>
    <w:rsid w:val="003F7CC9"/>
    <w:rsid w:val="00400FB4"/>
    <w:rsid w:val="0040198D"/>
    <w:rsid w:val="00402DDD"/>
    <w:rsid w:val="00404FCE"/>
    <w:rsid w:val="004068D1"/>
    <w:rsid w:val="00413127"/>
    <w:rsid w:val="0041359A"/>
    <w:rsid w:val="00417856"/>
    <w:rsid w:val="00420285"/>
    <w:rsid w:val="00420290"/>
    <w:rsid w:val="00420795"/>
    <w:rsid w:val="00421913"/>
    <w:rsid w:val="00422B29"/>
    <w:rsid w:val="00424FE6"/>
    <w:rsid w:val="004256E9"/>
    <w:rsid w:val="00427BEB"/>
    <w:rsid w:val="00430185"/>
    <w:rsid w:val="00431350"/>
    <w:rsid w:val="00431821"/>
    <w:rsid w:val="00431F4C"/>
    <w:rsid w:val="0043298E"/>
    <w:rsid w:val="004402E1"/>
    <w:rsid w:val="00440B49"/>
    <w:rsid w:val="0044160E"/>
    <w:rsid w:val="00445B13"/>
    <w:rsid w:val="00446637"/>
    <w:rsid w:val="004469CC"/>
    <w:rsid w:val="004520CF"/>
    <w:rsid w:val="00452546"/>
    <w:rsid w:val="00453FFB"/>
    <w:rsid w:val="00454068"/>
    <w:rsid w:val="00456797"/>
    <w:rsid w:val="004611EE"/>
    <w:rsid w:val="004614D1"/>
    <w:rsid w:val="0046153D"/>
    <w:rsid w:val="00463ED4"/>
    <w:rsid w:val="00465833"/>
    <w:rsid w:val="0046717D"/>
    <w:rsid w:val="00472AA6"/>
    <w:rsid w:val="00473DCA"/>
    <w:rsid w:val="00474670"/>
    <w:rsid w:val="00480621"/>
    <w:rsid w:val="004835F4"/>
    <w:rsid w:val="00484617"/>
    <w:rsid w:val="00487A34"/>
    <w:rsid w:val="004908E4"/>
    <w:rsid w:val="0049145B"/>
    <w:rsid w:val="00492D8B"/>
    <w:rsid w:val="004954D6"/>
    <w:rsid w:val="004969D0"/>
    <w:rsid w:val="004A3417"/>
    <w:rsid w:val="004A4646"/>
    <w:rsid w:val="004A521B"/>
    <w:rsid w:val="004A7D64"/>
    <w:rsid w:val="004B1A95"/>
    <w:rsid w:val="004B7F3D"/>
    <w:rsid w:val="004C27EE"/>
    <w:rsid w:val="004C34F6"/>
    <w:rsid w:val="004C6F02"/>
    <w:rsid w:val="004E12BE"/>
    <w:rsid w:val="004E709C"/>
    <w:rsid w:val="004E7D84"/>
    <w:rsid w:val="004F2A12"/>
    <w:rsid w:val="004F37EA"/>
    <w:rsid w:val="004F3B9A"/>
    <w:rsid w:val="004F6FAF"/>
    <w:rsid w:val="005018AE"/>
    <w:rsid w:val="00502B97"/>
    <w:rsid w:val="00502F3D"/>
    <w:rsid w:val="00503618"/>
    <w:rsid w:val="00505D0D"/>
    <w:rsid w:val="00506B3D"/>
    <w:rsid w:val="005076CB"/>
    <w:rsid w:val="00507FBC"/>
    <w:rsid w:val="00511132"/>
    <w:rsid w:val="00514E15"/>
    <w:rsid w:val="00517D38"/>
    <w:rsid w:val="00517E87"/>
    <w:rsid w:val="005200C0"/>
    <w:rsid w:val="005247CD"/>
    <w:rsid w:val="005251F0"/>
    <w:rsid w:val="00525882"/>
    <w:rsid w:val="00525CA6"/>
    <w:rsid w:val="00525F0A"/>
    <w:rsid w:val="00530F67"/>
    <w:rsid w:val="00532414"/>
    <w:rsid w:val="0053376D"/>
    <w:rsid w:val="0053548D"/>
    <w:rsid w:val="005377D1"/>
    <w:rsid w:val="00540680"/>
    <w:rsid w:val="00540C9A"/>
    <w:rsid w:val="00546E4E"/>
    <w:rsid w:val="00550A0D"/>
    <w:rsid w:val="005521DB"/>
    <w:rsid w:val="00555678"/>
    <w:rsid w:val="005558A7"/>
    <w:rsid w:val="005614BB"/>
    <w:rsid w:val="00562503"/>
    <w:rsid w:val="005628D0"/>
    <w:rsid w:val="00562E51"/>
    <w:rsid w:val="005631B9"/>
    <w:rsid w:val="00563613"/>
    <w:rsid w:val="00564E93"/>
    <w:rsid w:val="00565B40"/>
    <w:rsid w:val="00565CF8"/>
    <w:rsid w:val="00571F66"/>
    <w:rsid w:val="00572E61"/>
    <w:rsid w:val="00573644"/>
    <w:rsid w:val="00573A42"/>
    <w:rsid w:val="00576A5A"/>
    <w:rsid w:val="00577B4C"/>
    <w:rsid w:val="00581E61"/>
    <w:rsid w:val="005877E9"/>
    <w:rsid w:val="005901D5"/>
    <w:rsid w:val="00590816"/>
    <w:rsid w:val="0059144C"/>
    <w:rsid w:val="00591474"/>
    <w:rsid w:val="00592BF9"/>
    <w:rsid w:val="0059328E"/>
    <w:rsid w:val="005950EF"/>
    <w:rsid w:val="005A0168"/>
    <w:rsid w:val="005A0AB7"/>
    <w:rsid w:val="005A2F3F"/>
    <w:rsid w:val="005A3677"/>
    <w:rsid w:val="005A4EE9"/>
    <w:rsid w:val="005A5B21"/>
    <w:rsid w:val="005A66BA"/>
    <w:rsid w:val="005A6FEE"/>
    <w:rsid w:val="005A7E73"/>
    <w:rsid w:val="005B1462"/>
    <w:rsid w:val="005B1F66"/>
    <w:rsid w:val="005B2185"/>
    <w:rsid w:val="005B21F8"/>
    <w:rsid w:val="005B2DA7"/>
    <w:rsid w:val="005B3F40"/>
    <w:rsid w:val="005B5C9A"/>
    <w:rsid w:val="005B76F9"/>
    <w:rsid w:val="005C259E"/>
    <w:rsid w:val="005C44A0"/>
    <w:rsid w:val="005C717A"/>
    <w:rsid w:val="005C7626"/>
    <w:rsid w:val="005D1F6B"/>
    <w:rsid w:val="005D5937"/>
    <w:rsid w:val="005D5C56"/>
    <w:rsid w:val="005D7567"/>
    <w:rsid w:val="005E0C97"/>
    <w:rsid w:val="005E571F"/>
    <w:rsid w:val="005E783F"/>
    <w:rsid w:val="005E7FFB"/>
    <w:rsid w:val="005F2802"/>
    <w:rsid w:val="005F382D"/>
    <w:rsid w:val="0060254F"/>
    <w:rsid w:val="006035CE"/>
    <w:rsid w:val="00603B9E"/>
    <w:rsid w:val="006054D0"/>
    <w:rsid w:val="00607151"/>
    <w:rsid w:val="006116FC"/>
    <w:rsid w:val="0061225D"/>
    <w:rsid w:val="00612F48"/>
    <w:rsid w:val="00612F74"/>
    <w:rsid w:val="00615A1A"/>
    <w:rsid w:val="00622267"/>
    <w:rsid w:val="00622D28"/>
    <w:rsid w:val="00623028"/>
    <w:rsid w:val="00623400"/>
    <w:rsid w:val="00625AAD"/>
    <w:rsid w:val="006326AA"/>
    <w:rsid w:val="00635B75"/>
    <w:rsid w:val="00641398"/>
    <w:rsid w:val="00642DB3"/>
    <w:rsid w:val="00642DF6"/>
    <w:rsid w:val="006472FE"/>
    <w:rsid w:val="00647D0C"/>
    <w:rsid w:val="00647E39"/>
    <w:rsid w:val="00651C6F"/>
    <w:rsid w:val="00652307"/>
    <w:rsid w:val="00652438"/>
    <w:rsid w:val="006527D8"/>
    <w:rsid w:val="00652A03"/>
    <w:rsid w:val="00654B75"/>
    <w:rsid w:val="00656537"/>
    <w:rsid w:val="00660470"/>
    <w:rsid w:val="0066161D"/>
    <w:rsid w:val="00661F3D"/>
    <w:rsid w:val="00662139"/>
    <w:rsid w:val="006627D5"/>
    <w:rsid w:val="00666A66"/>
    <w:rsid w:val="00666BC3"/>
    <w:rsid w:val="00670342"/>
    <w:rsid w:val="00670880"/>
    <w:rsid w:val="00672C83"/>
    <w:rsid w:val="006758D3"/>
    <w:rsid w:val="00676368"/>
    <w:rsid w:val="006763AF"/>
    <w:rsid w:val="00677F1E"/>
    <w:rsid w:val="0068073D"/>
    <w:rsid w:val="00681DD6"/>
    <w:rsid w:val="00681EBC"/>
    <w:rsid w:val="00684B7C"/>
    <w:rsid w:val="0069018E"/>
    <w:rsid w:val="00691085"/>
    <w:rsid w:val="006927BF"/>
    <w:rsid w:val="00695748"/>
    <w:rsid w:val="006A05C5"/>
    <w:rsid w:val="006A149A"/>
    <w:rsid w:val="006A2B19"/>
    <w:rsid w:val="006A313A"/>
    <w:rsid w:val="006A6445"/>
    <w:rsid w:val="006B06FB"/>
    <w:rsid w:val="006B12A6"/>
    <w:rsid w:val="006B3780"/>
    <w:rsid w:val="006B5B2A"/>
    <w:rsid w:val="006B6E5F"/>
    <w:rsid w:val="006B7E46"/>
    <w:rsid w:val="006C042F"/>
    <w:rsid w:val="006C4AE6"/>
    <w:rsid w:val="006C7450"/>
    <w:rsid w:val="006C7800"/>
    <w:rsid w:val="006C78E6"/>
    <w:rsid w:val="006D0525"/>
    <w:rsid w:val="006D0FC1"/>
    <w:rsid w:val="006D4148"/>
    <w:rsid w:val="006D4264"/>
    <w:rsid w:val="006E1B85"/>
    <w:rsid w:val="006E1D79"/>
    <w:rsid w:val="006E1E7F"/>
    <w:rsid w:val="006E2C43"/>
    <w:rsid w:val="006E443C"/>
    <w:rsid w:val="006E4639"/>
    <w:rsid w:val="006E524F"/>
    <w:rsid w:val="006E52E0"/>
    <w:rsid w:val="006F32F3"/>
    <w:rsid w:val="006F49BB"/>
    <w:rsid w:val="006F7945"/>
    <w:rsid w:val="00702E57"/>
    <w:rsid w:val="00704F27"/>
    <w:rsid w:val="00705B5C"/>
    <w:rsid w:val="00706E8F"/>
    <w:rsid w:val="007078EC"/>
    <w:rsid w:val="0071027E"/>
    <w:rsid w:val="00710489"/>
    <w:rsid w:val="00717D7D"/>
    <w:rsid w:val="00731885"/>
    <w:rsid w:val="0073284E"/>
    <w:rsid w:val="00732BAE"/>
    <w:rsid w:val="00733609"/>
    <w:rsid w:val="00733F61"/>
    <w:rsid w:val="00735A76"/>
    <w:rsid w:val="00736483"/>
    <w:rsid w:val="00736A0A"/>
    <w:rsid w:val="0074276B"/>
    <w:rsid w:val="00744280"/>
    <w:rsid w:val="00744D6B"/>
    <w:rsid w:val="00750938"/>
    <w:rsid w:val="007570C0"/>
    <w:rsid w:val="00757E94"/>
    <w:rsid w:val="00761A72"/>
    <w:rsid w:val="007658BD"/>
    <w:rsid w:val="007677A0"/>
    <w:rsid w:val="00767A00"/>
    <w:rsid w:val="007811E0"/>
    <w:rsid w:val="00781932"/>
    <w:rsid w:val="00781D6E"/>
    <w:rsid w:val="00783BBE"/>
    <w:rsid w:val="00783F72"/>
    <w:rsid w:val="00793A01"/>
    <w:rsid w:val="00793E66"/>
    <w:rsid w:val="00794C72"/>
    <w:rsid w:val="00795A0D"/>
    <w:rsid w:val="007968B6"/>
    <w:rsid w:val="00796AFD"/>
    <w:rsid w:val="007A155B"/>
    <w:rsid w:val="007A6AC7"/>
    <w:rsid w:val="007A74D8"/>
    <w:rsid w:val="007B0CB1"/>
    <w:rsid w:val="007B10BB"/>
    <w:rsid w:val="007B1227"/>
    <w:rsid w:val="007B12DB"/>
    <w:rsid w:val="007B3463"/>
    <w:rsid w:val="007C3BBF"/>
    <w:rsid w:val="007C474C"/>
    <w:rsid w:val="007C485A"/>
    <w:rsid w:val="007C56D0"/>
    <w:rsid w:val="007C7F89"/>
    <w:rsid w:val="007D11A3"/>
    <w:rsid w:val="007D18BD"/>
    <w:rsid w:val="007D7F0F"/>
    <w:rsid w:val="007E0AD8"/>
    <w:rsid w:val="007E2B38"/>
    <w:rsid w:val="007E34F3"/>
    <w:rsid w:val="007E4219"/>
    <w:rsid w:val="007E7003"/>
    <w:rsid w:val="007F49FB"/>
    <w:rsid w:val="007F6EB9"/>
    <w:rsid w:val="008052B3"/>
    <w:rsid w:val="00810C41"/>
    <w:rsid w:val="00811C3C"/>
    <w:rsid w:val="00812034"/>
    <w:rsid w:val="0081596B"/>
    <w:rsid w:val="00817364"/>
    <w:rsid w:val="00820EB4"/>
    <w:rsid w:val="00821240"/>
    <w:rsid w:val="0082307B"/>
    <w:rsid w:val="00824391"/>
    <w:rsid w:val="008255C5"/>
    <w:rsid w:val="00831677"/>
    <w:rsid w:val="0083208E"/>
    <w:rsid w:val="00840A6E"/>
    <w:rsid w:val="00841381"/>
    <w:rsid w:val="00842667"/>
    <w:rsid w:val="00844F7B"/>
    <w:rsid w:val="00845A80"/>
    <w:rsid w:val="00851E8F"/>
    <w:rsid w:val="00853405"/>
    <w:rsid w:val="00853996"/>
    <w:rsid w:val="00854721"/>
    <w:rsid w:val="00854A60"/>
    <w:rsid w:val="00857BD9"/>
    <w:rsid w:val="00860522"/>
    <w:rsid w:val="00860753"/>
    <w:rsid w:val="00864924"/>
    <w:rsid w:val="008654DD"/>
    <w:rsid w:val="00867658"/>
    <w:rsid w:val="00867FDF"/>
    <w:rsid w:val="00870B24"/>
    <w:rsid w:val="00872950"/>
    <w:rsid w:val="00873672"/>
    <w:rsid w:val="00875E98"/>
    <w:rsid w:val="008762C8"/>
    <w:rsid w:val="008773A7"/>
    <w:rsid w:val="00877F99"/>
    <w:rsid w:val="008818A3"/>
    <w:rsid w:val="00882A8D"/>
    <w:rsid w:val="00885AF3"/>
    <w:rsid w:val="0088771C"/>
    <w:rsid w:val="00890F58"/>
    <w:rsid w:val="008931B6"/>
    <w:rsid w:val="00893F94"/>
    <w:rsid w:val="00894489"/>
    <w:rsid w:val="0089724A"/>
    <w:rsid w:val="00897502"/>
    <w:rsid w:val="008A1287"/>
    <w:rsid w:val="008A3200"/>
    <w:rsid w:val="008A4FA5"/>
    <w:rsid w:val="008A5F1A"/>
    <w:rsid w:val="008A6FBB"/>
    <w:rsid w:val="008B0C59"/>
    <w:rsid w:val="008B3D4C"/>
    <w:rsid w:val="008B5CB0"/>
    <w:rsid w:val="008B7FF4"/>
    <w:rsid w:val="008C4106"/>
    <w:rsid w:val="008C5345"/>
    <w:rsid w:val="008C6610"/>
    <w:rsid w:val="008C76D9"/>
    <w:rsid w:val="008D249D"/>
    <w:rsid w:val="008D312A"/>
    <w:rsid w:val="008D48F6"/>
    <w:rsid w:val="008D51FB"/>
    <w:rsid w:val="008D5363"/>
    <w:rsid w:val="008D64F6"/>
    <w:rsid w:val="008E1192"/>
    <w:rsid w:val="008E2124"/>
    <w:rsid w:val="008E2EF0"/>
    <w:rsid w:val="008E311B"/>
    <w:rsid w:val="008F2C39"/>
    <w:rsid w:val="008F4DCB"/>
    <w:rsid w:val="00901175"/>
    <w:rsid w:val="00901209"/>
    <w:rsid w:val="0090168B"/>
    <w:rsid w:val="00901E56"/>
    <w:rsid w:val="009028D3"/>
    <w:rsid w:val="00902FC2"/>
    <w:rsid w:val="009034DC"/>
    <w:rsid w:val="00903836"/>
    <w:rsid w:val="00904005"/>
    <w:rsid w:val="00905706"/>
    <w:rsid w:val="0091452F"/>
    <w:rsid w:val="0091642E"/>
    <w:rsid w:val="00917955"/>
    <w:rsid w:val="0092095C"/>
    <w:rsid w:val="00921BB9"/>
    <w:rsid w:val="009224BC"/>
    <w:rsid w:val="00922CF1"/>
    <w:rsid w:val="00924A58"/>
    <w:rsid w:val="0092554A"/>
    <w:rsid w:val="00926DA8"/>
    <w:rsid w:val="00927835"/>
    <w:rsid w:val="00927E1D"/>
    <w:rsid w:val="00927E78"/>
    <w:rsid w:val="00930E9E"/>
    <w:rsid w:val="00931188"/>
    <w:rsid w:val="00932D7B"/>
    <w:rsid w:val="00933E00"/>
    <w:rsid w:val="00936345"/>
    <w:rsid w:val="009402E8"/>
    <w:rsid w:val="00940A6E"/>
    <w:rsid w:val="00942565"/>
    <w:rsid w:val="00942E96"/>
    <w:rsid w:val="00945758"/>
    <w:rsid w:val="00945B1B"/>
    <w:rsid w:val="00946AD3"/>
    <w:rsid w:val="00946D81"/>
    <w:rsid w:val="00951893"/>
    <w:rsid w:val="00952F9F"/>
    <w:rsid w:val="00953164"/>
    <w:rsid w:val="009536B1"/>
    <w:rsid w:val="009548CC"/>
    <w:rsid w:val="0095572A"/>
    <w:rsid w:val="009561A3"/>
    <w:rsid w:val="00957079"/>
    <w:rsid w:val="009575A5"/>
    <w:rsid w:val="00960E3B"/>
    <w:rsid w:val="00962A9A"/>
    <w:rsid w:val="00962F6B"/>
    <w:rsid w:val="0096571B"/>
    <w:rsid w:val="0097137B"/>
    <w:rsid w:val="00971496"/>
    <w:rsid w:val="00971D0D"/>
    <w:rsid w:val="00975430"/>
    <w:rsid w:val="00975897"/>
    <w:rsid w:val="00981F5E"/>
    <w:rsid w:val="00982A69"/>
    <w:rsid w:val="00982E80"/>
    <w:rsid w:val="0098366C"/>
    <w:rsid w:val="00984DC1"/>
    <w:rsid w:val="009910FE"/>
    <w:rsid w:val="00992B1B"/>
    <w:rsid w:val="00992EC6"/>
    <w:rsid w:val="00994D0C"/>
    <w:rsid w:val="00995FD6"/>
    <w:rsid w:val="009968D9"/>
    <w:rsid w:val="009A0B8B"/>
    <w:rsid w:val="009A4785"/>
    <w:rsid w:val="009A4C8F"/>
    <w:rsid w:val="009A7575"/>
    <w:rsid w:val="009B3CC6"/>
    <w:rsid w:val="009B7553"/>
    <w:rsid w:val="009B7ACA"/>
    <w:rsid w:val="009D0827"/>
    <w:rsid w:val="009D1EBD"/>
    <w:rsid w:val="009D285E"/>
    <w:rsid w:val="009D2C05"/>
    <w:rsid w:val="009D4E7A"/>
    <w:rsid w:val="009D65F3"/>
    <w:rsid w:val="009E68AF"/>
    <w:rsid w:val="009F43A2"/>
    <w:rsid w:val="009F520B"/>
    <w:rsid w:val="009F54FB"/>
    <w:rsid w:val="00A010F7"/>
    <w:rsid w:val="00A0413B"/>
    <w:rsid w:val="00A049CD"/>
    <w:rsid w:val="00A04F4C"/>
    <w:rsid w:val="00A05462"/>
    <w:rsid w:val="00A108B1"/>
    <w:rsid w:val="00A125C5"/>
    <w:rsid w:val="00A12AB3"/>
    <w:rsid w:val="00A12D31"/>
    <w:rsid w:val="00A13158"/>
    <w:rsid w:val="00A16CF6"/>
    <w:rsid w:val="00A20630"/>
    <w:rsid w:val="00A21059"/>
    <w:rsid w:val="00A223BD"/>
    <w:rsid w:val="00A25910"/>
    <w:rsid w:val="00A268C6"/>
    <w:rsid w:val="00A26CAC"/>
    <w:rsid w:val="00A308FD"/>
    <w:rsid w:val="00A34B75"/>
    <w:rsid w:val="00A36B94"/>
    <w:rsid w:val="00A3753D"/>
    <w:rsid w:val="00A414BC"/>
    <w:rsid w:val="00A41573"/>
    <w:rsid w:val="00A41CF1"/>
    <w:rsid w:val="00A424B5"/>
    <w:rsid w:val="00A42870"/>
    <w:rsid w:val="00A428F6"/>
    <w:rsid w:val="00A440DE"/>
    <w:rsid w:val="00A460DD"/>
    <w:rsid w:val="00A47A42"/>
    <w:rsid w:val="00A51CF5"/>
    <w:rsid w:val="00A53560"/>
    <w:rsid w:val="00A57C4A"/>
    <w:rsid w:val="00A62562"/>
    <w:rsid w:val="00A633A3"/>
    <w:rsid w:val="00A67E12"/>
    <w:rsid w:val="00A71A9C"/>
    <w:rsid w:val="00A75BF5"/>
    <w:rsid w:val="00A801B2"/>
    <w:rsid w:val="00A85629"/>
    <w:rsid w:val="00A85D8D"/>
    <w:rsid w:val="00A87E69"/>
    <w:rsid w:val="00A934B2"/>
    <w:rsid w:val="00A949A4"/>
    <w:rsid w:val="00A96E71"/>
    <w:rsid w:val="00AA496C"/>
    <w:rsid w:val="00AA543E"/>
    <w:rsid w:val="00AA6D86"/>
    <w:rsid w:val="00AB26D6"/>
    <w:rsid w:val="00AC021F"/>
    <w:rsid w:val="00AC52A2"/>
    <w:rsid w:val="00AC5FFA"/>
    <w:rsid w:val="00AC6353"/>
    <w:rsid w:val="00AC65A8"/>
    <w:rsid w:val="00AC6E7D"/>
    <w:rsid w:val="00AD1BCC"/>
    <w:rsid w:val="00AD28F6"/>
    <w:rsid w:val="00AD3831"/>
    <w:rsid w:val="00AD6C89"/>
    <w:rsid w:val="00AE36A0"/>
    <w:rsid w:val="00AE399C"/>
    <w:rsid w:val="00AE3ECF"/>
    <w:rsid w:val="00AE55D5"/>
    <w:rsid w:val="00AE76E3"/>
    <w:rsid w:val="00AE7BE2"/>
    <w:rsid w:val="00AF1551"/>
    <w:rsid w:val="00AF171B"/>
    <w:rsid w:val="00AF3705"/>
    <w:rsid w:val="00AF5A2C"/>
    <w:rsid w:val="00AF7B38"/>
    <w:rsid w:val="00B01C39"/>
    <w:rsid w:val="00B02339"/>
    <w:rsid w:val="00B03CCF"/>
    <w:rsid w:val="00B05B6E"/>
    <w:rsid w:val="00B0612F"/>
    <w:rsid w:val="00B06613"/>
    <w:rsid w:val="00B06621"/>
    <w:rsid w:val="00B10B62"/>
    <w:rsid w:val="00B10FE4"/>
    <w:rsid w:val="00B128E8"/>
    <w:rsid w:val="00B12C6C"/>
    <w:rsid w:val="00B16CF3"/>
    <w:rsid w:val="00B20C3C"/>
    <w:rsid w:val="00B27405"/>
    <w:rsid w:val="00B2796B"/>
    <w:rsid w:val="00B3230B"/>
    <w:rsid w:val="00B328CE"/>
    <w:rsid w:val="00B3432B"/>
    <w:rsid w:val="00B35F94"/>
    <w:rsid w:val="00B36E26"/>
    <w:rsid w:val="00B37B68"/>
    <w:rsid w:val="00B41531"/>
    <w:rsid w:val="00B4199D"/>
    <w:rsid w:val="00B43004"/>
    <w:rsid w:val="00B43F57"/>
    <w:rsid w:val="00B4501D"/>
    <w:rsid w:val="00B45051"/>
    <w:rsid w:val="00B47ACC"/>
    <w:rsid w:val="00B5008C"/>
    <w:rsid w:val="00B556EA"/>
    <w:rsid w:val="00B57DE4"/>
    <w:rsid w:val="00B609A4"/>
    <w:rsid w:val="00B6177A"/>
    <w:rsid w:val="00B62728"/>
    <w:rsid w:val="00B628D1"/>
    <w:rsid w:val="00B62ABC"/>
    <w:rsid w:val="00B635B5"/>
    <w:rsid w:val="00B65185"/>
    <w:rsid w:val="00B66B25"/>
    <w:rsid w:val="00B67619"/>
    <w:rsid w:val="00B67D84"/>
    <w:rsid w:val="00B71A93"/>
    <w:rsid w:val="00B7349F"/>
    <w:rsid w:val="00B74B40"/>
    <w:rsid w:val="00B7593A"/>
    <w:rsid w:val="00B81620"/>
    <w:rsid w:val="00B81BBC"/>
    <w:rsid w:val="00B84BD7"/>
    <w:rsid w:val="00B86459"/>
    <w:rsid w:val="00B87B84"/>
    <w:rsid w:val="00B92117"/>
    <w:rsid w:val="00B92680"/>
    <w:rsid w:val="00B943A5"/>
    <w:rsid w:val="00BA00C3"/>
    <w:rsid w:val="00BA356B"/>
    <w:rsid w:val="00BA3FE0"/>
    <w:rsid w:val="00BA4EDB"/>
    <w:rsid w:val="00BA68BD"/>
    <w:rsid w:val="00BA7725"/>
    <w:rsid w:val="00BB3CDE"/>
    <w:rsid w:val="00BB4FAA"/>
    <w:rsid w:val="00BB7C17"/>
    <w:rsid w:val="00BB7E44"/>
    <w:rsid w:val="00BC155F"/>
    <w:rsid w:val="00BC1A85"/>
    <w:rsid w:val="00BC3465"/>
    <w:rsid w:val="00BC4FCA"/>
    <w:rsid w:val="00BC5410"/>
    <w:rsid w:val="00BC55FB"/>
    <w:rsid w:val="00BC56FF"/>
    <w:rsid w:val="00BC71C6"/>
    <w:rsid w:val="00BC74B7"/>
    <w:rsid w:val="00BC7BB5"/>
    <w:rsid w:val="00BD0B40"/>
    <w:rsid w:val="00BD2BA6"/>
    <w:rsid w:val="00BD2BCA"/>
    <w:rsid w:val="00BD5D8B"/>
    <w:rsid w:val="00BD7809"/>
    <w:rsid w:val="00BE204B"/>
    <w:rsid w:val="00BE2ABE"/>
    <w:rsid w:val="00BE3329"/>
    <w:rsid w:val="00BF2071"/>
    <w:rsid w:val="00BF25CD"/>
    <w:rsid w:val="00BF51DD"/>
    <w:rsid w:val="00C01E58"/>
    <w:rsid w:val="00C03ADD"/>
    <w:rsid w:val="00C06C58"/>
    <w:rsid w:val="00C142FE"/>
    <w:rsid w:val="00C15F03"/>
    <w:rsid w:val="00C16D3B"/>
    <w:rsid w:val="00C17F4C"/>
    <w:rsid w:val="00C207DD"/>
    <w:rsid w:val="00C2145C"/>
    <w:rsid w:val="00C2209F"/>
    <w:rsid w:val="00C223E4"/>
    <w:rsid w:val="00C248F3"/>
    <w:rsid w:val="00C277F6"/>
    <w:rsid w:val="00C30776"/>
    <w:rsid w:val="00C31309"/>
    <w:rsid w:val="00C33D5F"/>
    <w:rsid w:val="00C36529"/>
    <w:rsid w:val="00C4038B"/>
    <w:rsid w:val="00C40913"/>
    <w:rsid w:val="00C416EE"/>
    <w:rsid w:val="00C42B74"/>
    <w:rsid w:val="00C437F7"/>
    <w:rsid w:val="00C44DE4"/>
    <w:rsid w:val="00C46512"/>
    <w:rsid w:val="00C47864"/>
    <w:rsid w:val="00C50DBD"/>
    <w:rsid w:val="00C51245"/>
    <w:rsid w:val="00C548FB"/>
    <w:rsid w:val="00C55E0E"/>
    <w:rsid w:val="00C5721D"/>
    <w:rsid w:val="00C60706"/>
    <w:rsid w:val="00C66231"/>
    <w:rsid w:val="00C66370"/>
    <w:rsid w:val="00C674EE"/>
    <w:rsid w:val="00C67587"/>
    <w:rsid w:val="00C744C0"/>
    <w:rsid w:val="00C75EA3"/>
    <w:rsid w:val="00C779FF"/>
    <w:rsid w:val="00C77DAA"/>
    <w:rsid w:val="00C81C9B"/>
    <w:rsid w:val="00C82206"/>
    <w:rsid w:val="00C84C63"/>
    <w:rsid w:val="00C86EA4"/>
    <w:rsid w:val="00C90E1E"/>
    <w:rsid w:val="00C92162"/>
    <w:rsid w:val="00C9383A"/>
    <w:rsid w:val="00C93F85"/>
    <w:rsid w:val="00C94DEC"/>
    <w:rsid w:val="00C95672"/>
    <w:rsid w:val="00C9667B"/>
    <w:rsid w:val="00CA3879"/>
    <w:rsid w:val="00CA71F4"/>
    <w:rsid w:val="00CB2417"/>
    <w:rsid w:val="00CB4506"/>
    <w:rsid w:val="00CB456E"/>
    <w:rsid w:val="00CC05A9"/>
    <w:rsid w:val="00CC1C54"/>
    <w:rsid w:val="00CC1E06"/>
    <w:rsid w:val="00CC7BE0"/>
    <w:rsid w:val="00CC7DF3"/>
    <w:rsid w:val="00CD33B8"/>
    <w:rsid w:val="00CD39D4"/>
    <w:rsid w:val="00CD4DCD"/>
    <w:rsid w:val="00CE0061"/>
    <w:rsid w:val="00CE1C33"/>
    <w:rsid w:val="00CE6169"/>
    <w:rsid w:val="00CE734D"/>
    <w:rsid w:val="00CE75BB"/>
    <w:rsid w:val="00CF1261"/>
    <w:rsid w:val="00CF1D6A"/>
    <w:rsid w:val="00CF1E6B"/>
    <w:rsid w:val="00CF38F9"/>
    <w:rsid w:val="00CF491E"/>
    <w:rsid w:val="00D01E5F"/>
    <w:rsid w:val="00D0483F"/>
    <w:rsid w:val="00D04915"/>
    <w:rsid w:val="00D0515A"/>
    <w:rsid w:val="00D056A9"/>
    <w:rsid w:val="00D06493"/>
    <w:rsid w:val="00D064BB"/>
    <w:rsid w:val="00D07C43"/>
    <w:rsid w:val="00D11A0C"/>
    <w:rsid w:val="00D1242B"/>
    <w:rsid w:val="00D12697"/>
    <w:rsid w:val="00D128C0"/>
    <w:rsid w:val="00D143FB"/>
    <w:rsid w:val="00D14513"/>
    <w:rsid w:val="00D1619B"/>
    <w:rsid w:val="00D21655"/>
    <w:rsid w:val="00D22189"/>
    <w:rsid w:val="00D254BB"/>
    <w:rsid w:val="00D2594F"/>
    <w:rsid w:val="00D2700E"/>
    <w:rsid w:val="00D2789F"/>
    <w:rsid w:val="00D33958"/>
    <w:rsid w:val="00D342BB"/>
    <w:rsid w:val="00D34778"/>
    <w:rsid w:val="00D42587"/>
    <w:rsid w:val="00D42E9D"/>
    <w:rsid w:val="00D440D6"/>
    <w:rsid w:val="00D47AF2"/>
    <w:rsid w:val="00D50135"/>
    <w:rsid w:val="00D51608"/>
    <w:rsid w:val="00D52FF6"/>
    <w:rsid w:val="00D57AF0"/>
    <w:rsid w:val="00D6039B"/>
    <w:rsid w:val="00D60C89"/>
    <w:rsid w:val="00D61EBB"/>
    <w:rsid w:val="00D6228D"/>
    <w:rsid w:val="00D6349C"/>
    <w:rsid w:val="00D64C3A"/>
    <w:rsid w:val="00D72559"/>
    <w:rsid w:val="00D73CEC"/>
    <w:rsid w:val="00D75D5E"/>
    <w:rsid w:val="00D766BB"/>
    <w:rsid w:val="00D76BC5"/>
    <w:rsid w:val="00D77BD9"/>
    <w:rsid w:val="00D803D1"/>
    <w:rsid w:val="00D81BC4"/>
    <w:rsid w:val="00D84113"/>
    <w:rsid w:val="00D92592"/>
    <w:rsid w:val="00D9321E"/>
    <w:rsid w:val="00D95B0F"/>
    <w:rsid w:val="00D96449"/>
    <w:rsid w:val="00DA18B8"/>
    <w:rsid w:val="00DA3E39"/>
    <w:rsid w:val="00DA4037"/>
    <w:rsid w:val="00DA5AF5"/>
    <w:rsid w:val="00DB1E2D"/>
    <w:rsid w:val="00DB2700"/>
    <w:rsid w:val="00DB4A38"/>
    <w:rsid w:val="00DB7727"/>
    <w:rsid w:val="00DC1700"/>
    <w:rsid w:val="00DC176A"/>
    <w:rsid w:val="00DC35C6"/>
    <w:rsid w:val="00DC45BA"/>
    <w:rsid w:val="00DC5BC6"/>
    <w:rsid w:val="00DC74BE"/>
    <w:rsid w:val="00DC7601"/>
    <w:rsid w:val="00DC7D5D"/>
    <w:rsid w:val="00DC7ECE"/>
    <w:rsid w:val="00DD2441"/>
    <w:rsid w:val="00DD2FB7"/>
    <w:rsid w:val="00DD4CF7"/>
    <w:rsid w:val="00DD5764"/>
    <w:rsid w:val="00DD673F"/>
    <w:rsid w:val="00DE2B00"/>
    <w:rsid w:val="00DE5780"/>
    <w:rsid w:val="00DF0922"/>
    <w:rsid w:val="00DF2959"/>
    <w:rsid w:val="00DF341B"/>
    <w:rsid w:val="00DF4175"/>
    <w:rsid w:val="00DF52F7"/>
    <w:rsid w:val="00DF5C30"/>
    <w:rsid w:val="00DF7EC8"/>
    <w:rsid w:val="00E00EBB"/>
    <w:rsid w:val="00E066EA"/>
    <w:rsid w:val="00E07DC8"/>
    <w:rsid w:val="00E1335C"/>
    <w:rsid w:val="00E1348D"/>
    <w:rsid w:val="00E15106"/>
    <w:rsid w:val="00E20E8A"/>
    <w:rsid w:val="00E20EF4"/>
    <w:rsid w:val="00E219FF"/>
    <w:rsid w:val="00E23A92"/>
    <w:rsid w:val="00E25A37"/>
    <w:rsid w:val="00E27AB8"/>
    <w:rsid w:val="00E3072B"/>
    <w:rsid w:val="00E3107F"/>
    <w:rsid w:val="00E314BB"/>
    <w:rsid w:val="00E33808"/>
    <w:rsid w:val="00E33FE3"/>
    <w:rsid w:val="00E346A4"/>
    <w:rsid w:val="00E34EF6"/>
    <w:rsid w:val="00E37353"/>
    <w:rsid w:val="00E37865"/>
    <w:rsid w:val="00E44C36"/>
    <w:rsid w:val="00E45B72"/>
    <w:rsid w:val="00E46D1B"/>
    <w:rsid w:val="00E46E93"/>
    <w:rsid w:val="00E47075"/>
    <w:rsid w:val="00E501F2"/>
    <w:rsid w:val="00E526DE"/>
    <w:rsid w:val="00E54366"/>
    <w:rsid w:val="00E543B1"/>
    <w:rsid w:val="00E574EF"/>
    <w:rsid w:val="00E575F4"/>
    <w:rsid w:val="00E610EC"/>
    <w:rsid w:val="00E61F2B"/>
    <w:rsid w:val="00E63569"/>
    <w:rsid w:val="00E6436E"/>
    <w:rsid w:val="00E64BBD"/>
    <w:rsid w:val="00E66793"/>
    <w:rsid w:val="00E668B7"/>
    <w:rsid w:val="00E674A2"/>
    <w:rsid w:val="00E74FFE"/>
    <w:rsid w:val="00E77E79"/>
    <w:rsid w:val="00E80636"/>
    <w:rsid w:val="00E84239"/>
    <w:rsid w:val="00E8525D"/>
    <w:rsid w:val="00E8552F"/>
    <w:rsid w:val="00E916CA"/>
    <w:rsid w:val="00E926F2"/>
    <w:rsid w:val="00E96465"/>
    <w:rsid w:val="00E9758A"/>
    <w:rsid w:val="00E97A15"/>
    <w:rsid w:val="00EA1C6F"/>
    <w:rsid w:val="00EA2782"/>
    <w:rsid w:val="00EA5FF3"/>
    <w:rsid w:val="00EB0339"/>
    <w:rsid w:val="00EB409B"/>
    <w:rsid w:val="00EB4277"/>
    <w:rsid w:val="00EB6E46"/>
    <w:rsid w:val="00EC0087"/>
    <w:rsid w:val="00EC0B9F"/>
    <w:rsid w:val="00EC591F"/>
    <w:rsid w:val="00EC6A96"/>
    <w:rsid w:val="00ED273D"/>
    <w:rsid w:val="00ED3BC7"/>
    <w:rsid w:val="00ED6506"/>
    <w:rsid w:val="00ED6A1C"/>
    <w:rsid w:val="00ED6E15"/>
    <w:rsid w:val="00ED74FA"/>
    <w:rsid w:val="00EE08A6"/>
    <w:rsid w:val="00EE23FA"/>
    <w:rsid w:val="00EE2E16"/>
    <w:rsid w:val="00EE5EB9"/>
    <w:rsid w:val="00EE799C"/>
    <w:rsid w:val="00EF22FD"/>
    <w:rsid w:val="00EF4867"/>
    <w:rsid w:val="00EF6C86"/>
    <w:rsid w:val="00F0038A"/>
    <w:rsid w:val="00F04499"/>
    <w:rsid w:val="00F0749D"/>
    <w:rsid w:val="00F102F3"/>
    <w:rsid w:val="00F17C2E"/>
    <w:rsid w:val="00F21ED7"/>
    <w:rsid w:val="00F23338"/>
    <w:rsid w:val="00F27094"/>
    <w:rsid w:val="00F304AD"/>
    <w:rsid w:val="00F30901"/>
    <w:rsid w:val="00F354FE"/>
    <w:rsid w:val="00F366B5"/>
    <w:rsid w:val="00F402C2"/>
    <w:rsid w:val="00F40F37"/>
    <w:rsid w:val="00F415BA"/>
    <w:rsid w:val="00F4372A"/>
    <w:rsid w:val="00F43B22"/>
    <w:rsid w:val="00F45706"/>
    <w:rsid w:val="00F46170"/>
    <w:rsid w:val="00F46C77"/>
    <w:rsid w:val="00F470BF"/>
    <w:rsid w:val="00F51E94"/>
    <w:rsid w:val="00F54681"/>
    <w:rsid w:val="00F5545E"/>
    <w:rsid w:val="00F57E6E"/>
    <w:rsid w:val="00F6226F"/>
    <w:rsid w:val="00F62995"/>
    <w:rsid w:val="00F71355"/>
    <w:rsid w:val="00F74316"/>
    <w:rsid w:val="00F7477C"/>
    <w:rsid w:val="00F74E01"/>
    <w:rsid w:val="00F757E2"/>
    <w:rsid w:val="00F75FB5"/>
    <w:rsid w:val="00F84E76"/>
    <w:rsid w:val="00F861F0"/>
    <w:rsid w:val="00F95B4C"/>
    <w:rsid w:val="00F96C5E"/>
    <w:rsid w:val="00F97928"/>
    <w:rsid w:val="00F9794B"/>
    <w:rsid w:val="00FA35D3"/>
    <w:rsid w:val="00FA3905"/>
    <w:rsid w:val="00FB20D2"/>
    <w:rsid w:val="00FB3DE6"/>
    <w:rsid w:val="00FB4283"/>
    <w:rsid w:val="00FB6838"/>
    <w:rsid w:val="00FB7881"/>
    <w:rsid w:val="00FC008E"/>
    <w:rsid w:val="00FC06EA"/>
    <w:rsid w:val="00FC08C0"/>
    <w:rsid w:val="00FC21AD"/>
    <w:rsid w:val="00FC32F3"/>
    <w:rsid w:val="00FC4E8F"/>
    <w:rsid w:val="00FC65F0"/>
    <w:rsid w:val="00FD2A82"/>
    <w:rsid w:val="00FD2BED"/>
    <w:rsid w:val="00FD6802"/>
    <w:rsid w:val="00FE05DB"/>
    <w:rsid w:val="00FE372B"/>
    <w:rsid w:val="00FE3BCE"/>
    <w:rsid w:val="00FE5637"/>
    <w:rsid w:val="00FE5AFC"/>
    <w:rsid w:val="00FE6D7B"/>
    <w:rsid w:val="00FE6EB7"/>
    <w:rsid w:val="00FF4655"/>
    <w:rsid w:val="00FF576C"/>
    <w:rsid w:val="00FF6F16"/>
    <w:rsid w:val="00FF70C1"/>
    <w:rsid w:val="00FF7577"/>
    <w:rsid w:val="39022FE1"/>
    <w:rsid w:val="46E91507"/>
    <w:rsid w:val="566FB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84290"/>
  <w14:defaultImageDpi w14:val="0"/>
  <w15:docId w15:val="{CA47A63C-8A98-4197-AA49-7B13C62A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4D1"/>
    <w:pPr>
      <w:ind w:left="720"/>
      <w:contextualSpacing/>
    </w:pPr>
  </w:style>
  <w:style w:type="paragraph" w:styleId="BalloonText">
    <w:name w:val="Balloon Text"/>
    <w:basedOn w:val="Normal"/>
    <w:link w:val="BalloonTextChar"/>
    <w:uiPriority w:val="99"/>
    <w:semiHidden/>
    <w:unhideWhenUsed/>
    <w:rsid w:val="003C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05"/>
    <w:rPr>
      <w:rFonts w:ascii="Segoe UI" w:hAnsi="Segoe UI" w:cs="Segoe UI"/>
      <w:sz w:val="18"/>
      <w:szCs w:val="18"/>
    </w:rPr>
  </w:style>
  <w:style w:type="paragraph" w:customStyle="1" w:styleId="Default">
    <w:name w:val="Default"/>
    <w:uiPriority w:val="99"/>
    <w:rsid w:val="002713E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TOCOL">
    <w:name w:val="PROTOCOL"/>
    <w:basedOn w:val="Normal"/>
    <w:rsid w:val="002713EF"/>
    <w:pPr>
      <w:spacing w:after="0" w:line="240" w:lineRule="auto"/>
      <w:jc w:val="both"/>
    </w:pPr>
    <w:rPr>
      <w:rFonts w:ascii="Courier" w:eastAsia="Times New Roman" w:hAnsi="Courier" w:cs="Courier"/>
      <w:sz w:val="24"/>
      <w:szCs w:val="24"/>
    </w:rPr>
  </w:style>
  <w:style w:type="character" w:styleId="Hyperlink">
    <w:name w:val="Hyperlink"/>
    <w:basedOn w:val="DefaultParagraphFont"/>
    <w:uiPriority w:val="99"/>
    <w:unhideWhenUsed/>
    <w:rsid w:val="00395ECA"/>
    <w:rPr>
      <w:color w:val="0000FF"/>
      <w:u w:val="single"/>
    </w:rPr>
  </w:style>
  <w:style w:type="table" w:styleId="TableGrid">
    <w:name w:val="Table Grid"/>
    <w:basedOn w:val="TableNormal"/>
    <w:uiPriority w:val="39"/>
    <w:rsid w:val="00085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865"/>
    <w:rPr>
      <w:sz w:val="16"/>
      <w:szCs w:val="16"/>
    </w:rPr>
  </w:style>
  <w:style w:type="paragraph" w:styleId="CommentText">
    <w:name w:val="annotation text"/>
    <w:basedOn w:val="Normal"/>
    <w:link w:val="CommentTextChar"/>
    <w:uiPriority w:val="99"/>
    <w:semiHidden/>
    <w:unhideWhenUsed/>
    <w:rsid w:val="00E37865"/>
    <w:pPr>
      <w:spacing w:line="240" w:lineRule="auto"/>
    </w:pPr>
    <w:rPr>
      <w:sz w:val="20"/>
      <w:szCs w:val="20"/>
    </w:rPr>
  </w:style>
  <w:style w:type="character" w:customStyle="1" w:styleId="CommentTextChar">
    <w:name w:val="Comment Text Char"/>
    <w:basedOn w:val="DefaultParagraphFont"/>
    <w:link w:val="CommentText"/>
    <w:uiPriority w:val="99"/>
    <w:semiHidden/>
    <w:rsid w:val="00E37865"/>
    <w:rPr>
      <w:sz w:val="20"/>
      <w:szCs w:val="20"/>
    </w:rPr>
  </w:style>
  <w:style w:type="paragraph" w:styleId="CommentSubject">
    <w:name w:val="annotation subject"/>
    <w:basedOn w:val="CommentText"/>
    <w:next w:val="CommentText"/>
    <w:link w:val="CommentSubjectChar"/>
    <w:uiPriority w:val="99"/>
    <w:semiHidden/>
    <w:unhideWhenUsed/>
    <w:rsid w:val="00E37865"/>
    <w:rPr>
      <w:b/>
      <w:bCs/>
    </w:rPr>
  </w:style>
  <w:style w:type="character" w:customStyle="1" w:styleId="CommentSubjectChar">
    <w:name w:val="Comment Subject Char"/>
    <w:basedOn w:val="CommentTextChar"/>
    <w:link w:val="CommentSubject"/>
    <w:uiPriority w:val="99"/>
    <w:semiHidden/>
    <w:rsid w:val="00E37865"/>
    <w:rPr>
      <w:b/>
      <w:bCs/>
      <w:sz w:val="20"/>
      <w:szCs w:val="20"/>
    </w:rPr>
  </w:style>
  <w:style w:type="character" w:customStyle="1" w:styleId="UnresolvedMention1">
    <w:name w:val="Unresolved Mention1"/>
    <w:basedOn w:val="DefaultParagraphFont"/>
    <w:uiPriority w:val="99"/>
    <w:semiHidden/>
    <w:unhideWhenUsed/>
    <w:rsid w:val="00BD5D8B"/>
    <w:rPr>
      <w:color w:val="605E5C"/>
      <w:shd w:val="clear" w:color="auto" w:fill="E1DFDD"/>
    </w:rPr>
  </w:style>
  <w:style w:type="paragraph" w:customStyle="1" w:styleId="EndNoteBibliography">
    <w:name w:val="EndNote Bibliography"/>
    <w:basedOn w:val="Normal"/>
    <w:link w:val="EndNoteBibliographyChar"/>
    <w:rsid w:val="00D42587"/>
    <w:pPr>
      <w:spacing w:after="200" w:line="240" w:lineRule="auto"/>
      <w:jc w:val="both"/>
    </w:pPr>
    <w:rPr>
      <w:rFonts w:ascii="Calibri" w:eastAsiaTheme="minorHAnsi" w:hAnsi="Calibri"/>
      <w:noProof/>
    </w:rPr>
  </w:style>
  <w:style w:type="character" w:customStyle="1" w:styleId="EndNoteBibliographyChar">
    <w:name w:val="EndNote Bibliography Char"/>
    <w:basedOn w:val="DefaultParagraphFont"/>
    <w:link w:val="EndNoteBibliography"/>
    <w:rsid w:val="00D42587"/>
    <w:rPr>
      <w:rFonts w:ascii="Calibri" w:eastAsiaTheme="minorHAnsi" w:hAnsi="Calibri"/>
      <w:noProof/>
    </w:rPr>
  </w:style>
  <w:style w:type="paragraph" w:styleId="Revision">
    <w:name w:val="Revision"/>
    <w:hidden/>
    <w:uiPriority w:val="99"/>
    <w:semiHidden/>
    <w:rsid w:val="00FE6D7B"/>
    <w:pPr>
      <w:spacing w:after="0" w:line="240" w:lineRule="auto"/>
    </w:pPr>
  </w:style>
  <w:style w:type="character" w:styleId="UnresolvedMention">
    <w:name w:val="Unresolved Mention"/>
    <w:basedOn w:val="DefaultParagraphFont"/>
    <w:uiPriority w:val="99"/>
    <w:semiHidden/>
    <w:unhideWhenUsed/>
    <w:rsid w:val="0013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49525">
      <w:bodyDiv w:val="1"/>
      <w:marLeft w:val="0"/>
      <w:marRight w:val="0"/>
      <w:marTop w:val="0"/>
      <w:marBottom w:val="0"/>
      <w:divBdr>
        <w:top w:val="none" w:sz="0" w:space="0" w:color="auto"/>
        <w:left w:val="none" w:sz="0" w:space="0" w:color="auto"/>
        <w:bottom w:val="none" w:sz="0" w:space="0" w:color="auto"/>
        <w:right w:val="none" w:sz="0" w:space="0" w:color="auto"/>
      </w:divBdr>
    </w:div>
    <w:div w:id="1352684056">
      <w:bodyDiv w:val="1"/>
      <w:marLeft w:val="0"/>
      <w:marRight w:val="0"/>
      <w:marTop w:val="0"/>
      <w:marBottom w:val="0"/>
      <w:divBdr>
        <w:top w:val="none" w:sz="0" w:space="0" w:color="auto"/>
        <w:left w:val="none" w:sz="0" w:space="0" w:color="auto"/>
        <w:bottom w:val="none" w:sz="0" w:space="0" w:color="auto"/>
        <w:right w:val="none" w:sz="0" w:space="0" w:color="auto"/>
      </w:divBdr>
    </w:div>
    <w:div w:id="1490901085">
      <w:bodyDiv w:val="1"/>
      <w:marLeft w:val="0"/>
      <w:marRight w:val="0"/>
      <w:marTop w:val="0"/>
      <w:marBottom w:val="0"/>
      <w:divBdr>
        <w:top w:val="none" w:sz="0" w:space="0" w:color="auto"/>
        <w:left w:val="none" w:sz="0" w:space="0" w:color="auto"/>
        <w:bottom w:val="none" w:sz="0" w:space="0" w:color="auto"/>
        <w:right w:val="none" w:sz="0" w:space="0" w:color="auto"/>
      </w:divBdr>
    </w:div>
    <w:div w:id="17383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seinfo-radar.com" TargetMode="External"/><Relationship Id="rId5" Type="http://schemas.openxmlformats.org/officeDocument/2006/relationships/numbering" Target="numbering.xml"/><Relationship Id="rId10" Type="http://schemas.openxmlformats.org/officeDocument/2006/relationships/hyperlink" Target="https://www.acr.org/-/media/ACR/Files/Practice-Parameters/Pregnant-Pts.pdf?la=en"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C964AE4E9F2E40B2388A12F5635622" ma:contentTypeVersion="12" ma:contentTypeDescription="Create a new document." ma:contentTypeScope="" ma:versionID="7dd2b44cba2e18c85ebf01b3962dbb33">
  <xsd:schema xmlns:xsd="http://www.w3.org/2001/XMLSchema" xmlns:xs="http://www.w3.org/2001/XMLSchema" xmlns:p="http://schemas.microsoft.com/office/2006/metadata/properties" xmlns:ns2="ccb9ae7d-2c4f-4fc4-959a-06ca68275489" xmlns:ns3="d341a2c7-5a7b-4af7-aa9c-7ea23fe50040" targetNamespace="http://schemas.microsoft.com/office/2006/metadata/properties" ma:root="true" ma:fieldsID="37d3170f25fb6a1f8b953b34d5ef6726" ns2:_="" ns3:_="">
    <xsd:import namespace="ccb9ae7d-2c4f-4fc4-959a-06ca68275489"/>
    <xsd:import namespace="d341a2c7-5a7b-4af7-aa9c-7ea23fe500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1a2c7-5a7b-4af7-aa9c-7ea23fe500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F5D2-2C8C-45AF-83B6-8775BBF499BE}">
  <ds:schemaRefs>
    <ds:schemaRef ds:uri="http://schemas.microsoft.com/sharepoint/v3/contenttype/forms"/>
  </ds:schemaRefs>
</ds:datastoreItem>
</file>

<file path=customXml/itemProps2.xml><?xml version="1.0" encoding="utf-8"?>
<ds:datastoreItem xmlns:ds="http://schemas.openxmlformats.org/officeDocument/2006/customXml" ds:itemID="{0818CEB4-9319-4D1F-B852-A9FF9F5B0D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FAB25-677C-4E37-8FC0-40252D0EECA8}"/>
</file>

<file path=customXml/itemProps4.xml><?xml version="1.0" encoding="utf-8"?>
<ds:datastoreItem xmlns:ds="http://schemas.openxmlformats.org/officeDocument/2006/customXml" ds:itemID="{88E1E864-C698-45C2-8CF3-03235047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5752</Words>
  <Characters>32789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Kauffman, Julie</dc:creator>
  <cp:keywords/>
  <dc:description/>
  <cp:lastModifiedBy>Twyla Bartel</cp:lastModifiedBy>
  <cp:revision>3</cp:revision>
  <dcterms:created xsi:type="dcterms:W3CDTF">2019-08-20T06:10:00Z</dcterms:created>
  <dcterms:modified xsi:type="dcterms:W3CDTF">2019-08-20T06:15:00Z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0x0101002CC964AE4E9F2E40B2388A12F5635622</vt:lpwstr>
  </property>
</Properties>
</file>